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652E44" w14:textId="7857C6A4" w:rsidR="00F27269" w:rsidRDefault="00261214" w:rsidP="00127DE5">
      <w:pPr>
        <w:pStyle w:val="HTMLPreformatted"/>
        <w:spacing w:after="200" w:line="276" w:lineRule="auto"/>
        <w:jc w:val="both"/>
        <w:rPr>
          <w:rFonts w:ascii="Calibri" w:hAnsi="Calibri"/>
          <w:b/>
          <w:color w:val="000000"/>
          <w:sz w:val="24"/>
          <w:szCs w:val="24"/>
        </w:rPr>
      </w:pPr>
      <w:r w:rsidRPr="009E5421">
        <w:rPr>
          <w:rFonts w:ascii="Calibri" w:hAnsi="Calibri"/>
          <w:b/>
          <w:color w:val="000000"/>
          <w:sz w:val="24"/>
          <w:szCs w:val="24"/>
        </w:rPr>
        <w:t>Nifty</w:t>
      </w:r>
      <w:r w:rsidR="00C00B58" w:rsidRPr="00C00B58">
        <w:rPr>
          <w:rFonts w:ascii="Calibri" w:hAnsi="Calibri"/>
          <w:b/>
          <w:color w:val="000000"/>
          <w:sz w:val="24"/>
          <w:szCs w:val="24"/>
        </w:rPr>
        <w:t xml:space="preserve"> </w:t>
      </w:r>
      <w:r w:rsidR="00C00B58" w:rsidRPr="009E5421">
        <w:rPr>
          <w:rFonts w:ascii="Calibri" w:hAnsi="Calibri"/>
          <w:b/>
          <w:color w:val="000000"/>
          <w:sz w:val="24"/>
          <w:szCs w:val="24"/>
        </w:rPr>
        <w:t>Technical Outlook</w:t>
      </w:r>
      <w:r w:rsidR="00C00B58">
        <w:rPr>
          <w:rFonts w:ascii="Calibri" w:hAnsi="Calibri"/>
          <w:b/>
          <w:color w:val="000000"/>
          <w:sz w:val="24"/>
          <w:szCs w:val="24"/>
        </w:rPr>
        <w:t xml:space="preserve"> (</w:t>
      </w:r>
      <w:r w:rsidR="00842DCA">
        <w:rPr>
          <w:rFonts w:ascii="Calibri" w:hAnsi="Calibri"/>
          <w:b/>
          <w:color w:val="000000"/>
          <w:sz w:val="24"/>
          <w:szCs w:val="24"/>
        </w:rPr>
        <w:t>SEPT</w:t>
      </w:r>
      <w:r w:rsidR="00BA1C7B">
        <w:rPr>
          <w:rFonts w:ascii="Calibri" w:hAnsi="Calibri"/>
          <w:b/>
          <w:color w:val="000000"/>
          <w:sz w:val="24"/>
          <w:szCs w:val="24"/>
        </w:rPr>
        <w:t xml:space="preserve"> </w:t>
      </w:r>
      <w:r w:rsidR="00AC4845">
        <w:rPr>
          <w:rFonts w:ascii="Calibri" w:hAnsi="Calibri"/>
          <w:b/>
          <w:color w:val="000000"/>
          <w:sz w:val="24"/>
          <w:szCs w:val="24"/>
        </w:rPr>
        <w:t>-</w:t>
      </w:r>
      <w:r w:rsidR="005A59D7">
        <w:rPr>
          <w:rFonts w:ascii="Calibri" w:hAnsi="Calibri"/>
          <w:b/>
          <w:color w:val="000000"/>
          <w:sz w:val="24"/>
          <w:szCs w:val="24"/>
        </w:rPr>
        <w:t xml:space="preserve"> 202</w:t>
      </w:r>
      <w:r w:rsidR="00CF44C7">
        <w:rPr>
          <w:rFonts w:ascii="Calibri" w:hAnsi="Calibri"/>
          <w:b/>
          <w:color w:val="000000"/>
          <w:sz w:val="24"/>
          <w:szCs w:val="24"/>
        </w:rPr>
        <w:t>5</w:t>
      </w:r>
      <w:r w:rsidR="00C00B58">
        <w:rPr>
          <w:rFonts w:ascii="Calibri" w:hAnsi="Calibri"/>
          <w:b/>
          <w:color w:val="000000"/>
          <w:sz w:val="24"/>
          <w:szCs w:val="24"/>
        </w:rPr>
        <w:t>)</w:t>
      </w:r>
      <w:r w:rsidR="000A1AB2">
        <w:rPr>
          <w:rFonts w:ascii="Calibri" w:hAnsi="Calibri"/>
          <w:b/>
          <w:color w:val="000000"/>
          <w:sz w:val="24"/>
          <w:szCs w:val="24"/>
        </w:rPr>
        <w:t xml:space="preserve"> CMP = </w:t>
      </w:r>
      <w:r w:rsidR="00936958">
        <w:rPr>
          <w:rFonts w:ascii="Calibri" w:hAnsi="Calibri"/>
          <w:b/>
          <w:color w:val="000000"/>
          <w:sz w:val="24"/>
          <w:szCs w:val="24"/>
        </w:rPr>
        <w:t>2</w:t>
      </w:r>
      <w:r w:rsidR="00D70069">
        <w:rPr>
          <w:rFonts w:ascii="Calibri" w:hAnsi="Calibri"/>
          <w:b/>
          <w:color w:val="000000"/>
          <w:sz w:val="24"/>
          <w:szCs w:val="24"/>
        </w:rPr>
        <w:t>4</w:t>
      </w:r>
      <w:r w:rsidR="00842DCA">
        <w:rPr>
          <w:rFonts w:ascii="Calibri" w:hAnsi="Calibri"/>
          <w:b/>
          <w:color w:val="000000"/>
          <w:sz w:val="24"/>
          <w:szCs w:val="24"/>
        </w:rPr>
        <w:t>426.85</w:t>
      </w:r>
    </w:p>
    <w:p w14:paraId="0CA663B5" w14:textId="41130B1E" w:rsidR="00127DE5" w:rsidRDefault="00842DCA" w:rsidP="00261214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Garamond-Bold"/>
          <w:bCs/>
        </w:rPr>
      </w:pPr>
      <w:r>
        <w:rPr>
          <w:rFonts w:asciiTheme="minorHAnsi" w:hAnsiTheme="minorHAnsi" w:cs="Garamond-Bold"/>
          <w:bCs/>
          <w:noProof/>
          <w:lang w:val="en-IN" w:eastAsia="en-IN"/>
        </w:rPr>
        <w:drawing>
          <wp:inline distT="0" distB="0" distL="0" distR="0" wp14:anchorId="2EE0554D" wp14:editId="1A129A6B">
            <wp:extent cx="5935980" cy="248412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248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2158342" w14:textId="77777777" w:rsidR="005A25BD" w:rsidRDefault="005A25BD" w:rsidP="00261214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Garamond-Bold"/>
          <w:bCs/>
        </w:rPr>
      </w:pPr>
    </w:p>
    <w:p w14:paraId="43BBB6D2" w14:textId="74674A4C" w:rsidR="00862B9C" w:rsidRPr="00862B9C" w:rsidRDefault="00862B9C" w:rsidP="009735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en-IN" w:eastAsia="en-IN"/>
        </w:rPr>
      </w:pPr>
      <w:r w:rsidRPr="00862B9C">
        <w:rPr>
          <w:rFonts w:ascii="Times New Roman" w:eastAsia="Times New Roman" w:hAnsi="Times New Roman"/>
          <w:sz w:val="24"/>
          <w:szCs w:val="24"/>
          <w:lang w:val="en-IN" w:eastAsia="en-IN"/>
        </w:rPr>
        <w:t xml:space="preserve">On the monthly chart, we are witnessing a pullback of the previous up move, with the current candle forming a </w:t>
      </w:r>
      <w:r w:rsidR="00023698">
        <w:rPr>
          <w:rFonts w:ascii="Times New Roman" w:eastAsia="Times New Roman" w:hAnsi="Times New Roman"/>
          <w:sz w:val="24"/>
          <w:szCs w:val="24"/>
          <w:lang w:val="en-IN" w:eastAsia="en-IN"/>
        </w:rPr>
        <w:t>“</w:t>
      </w:r>
      <w:proofErr w:type="spellStart"/>
      <w:r w:rsidR="00842DCA">
        <w:rPr>
          <w:rFonts w:ascii="Times New Roman" w:eastAsia="Times New Roman" w:hAnsi="Times New Roman"/>
          <w:sz w:val="24"/>
          <w:szCs w:val="24"/>
          <w:lang w:val="en-IN" w:eastAsia="en-IN"/>
        </w:rPr>
        <w:t>Doji</w:t>
      </w:r>
      <w:proofErr w:type="spellEnd"/>
      <w:r w:rsidR="00023698">
        <w:rPr>
          <w:rFonts w:ascii="Times New Roman" w:eastAsia="Times New Roman" w:hAnsi="Times New Roman"/>
          <w:sz w:val="24"/>
          <w:szCs w:val="24"/>
          <w:lang w:val="en-IN" w:eastAsia="en-IN"/>
        </w:rPr>
        <w:t>”</w:t>
      </w:r>
      <w:r w:rsidR="00842DCA">
        <w:rPr>
          <w:rFonts w:ascii="Times New Roman" w:eastAsia="Times New Roman" w:hAnsi="Times New Roman"/>
          <w:sz w:val="24"/>
          <w:szCs w:val="24"/>
          <w:lang w:val="en-IN" w:eastAsia="en-IN"/>
        </w:rPr>
        <w:t xml:space="preserve"> candlestick pattern</w:t>
      </w:r>
      <w:r w:rsidRPr="00862B9C">
        <w:rPr>
          <w:rFonts w:ascii="Times New Roman" w:eastAsia="Times New Roman" w:hAnsi="Times New Roman"/>
          <w:sz w:val="24"/>
          <w:szCs w:val="24"/>
          <w:lang w:val="en-IN" w:eastAsia="en-IN"/>
        </w:rPr>
        <w:t>. This indicates that the preceding rally is losing momentum.</w:t>
      </w:r>
    </w:p>
    <w:p w14:paraId="13617DD8" w14:textId="1983565B" w:rsidR="00862B9C" w:rsidRPr="00862B9C" w:rsidRDefault="00862B9C" w:rsidP="009735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en-IN" w:eastAsia="en-IN"/>
        </w:rPr>
      </w:pPr>
      <w:r w:rsidRPr="00862B9C">
        <w:rPr>
          <w:rFonts w:ascii="Times New Roman" w:eastAsia="Times New Roman" w:hAnsi="Times New Roman"/>
          <w:sz w:val="24"/>
          <w:szCs w:val="24"/>
          <w:lang w:val="en-IN" w:eastAsia="en-IN"/>
        </w:rPr>
        <w:t>In the coming month, if Nifty trades and sustains above 24,</w:t>
      </w:r>
      <w:r w:rsidR="00E5219E">
        <w:rPr>
          <w:rFonts w:ascii="Times New Roman" w:eastAsia="Times New Roman" w:hAnsi="Times New Roman"/>
          <w:sz w:val="24"/>
          <w:szCs w:val="24"/>
          <w:lang w:val="en-IN" w:eastAsia="en-IN"/>
        </w:rPr>
        <w:t>591</w:t>
      </w:r>
      <w:r w:rsidRPr="00862B9C">
        <w:rPr>
          <w:rFonts w:ascii="Times New Roman" w:eastAsia="Times New Roman" w:hAnsi="Times New Roman"/>
          <w:sz w:val="24"/>
          <w:szCs w:val="24"/>
          <w:lang w:val="en-IN" w:eastAsia="en-IN"/>
        </w:rPr>
        <w:t xml:space="preserve">, it could extend its gains toward </w:t>
      </w:r>
      <w:r w:rsidR="00E5219E">
        <w:rPr>
          <w:rFonts w:ascii="Times New Roman" w:eastAsia="Times New Roman" w:hAnsi="Times New Roman"/>
          <w:sz w:val="24"/>
          <w:szCs w:val="24"/>
          <w:lang w:val="en-IN" w:eastAsia="en-IN"/>
        </w:rPr>
        <w:t xml:space="preserve">24829 – 25067 – 25345 </w:t>
      </w:r>
      <w:r w:rsidR="00E5219E" w:rsidRPr="00862B9C">
        <w:rPr>
          <w:rFonts w:ascii="Times New Roman" w:eastAsia="Times New Roman" w:hAnsi="Times New Roman"/>
          <w:sz w:val="24"/>
          <w:szCs w:val="24"/>
          <w:lang w:val="en-IN" w:eastAsia="en-IN"/>
        </w:rPr>
        <w:t>zones</w:t>
      </w:r>
      <w:r w:rsidRPr="00862B9C">
        <w:rPr>
          <w:rFonts w:ascii="Times New Roman" w:eastAsia="Times New Roman" w:hAnsi="Times New Roman"/>
          <w:sz w:val="24"/>
          <w:szCs w:val="24"/>
          <w:lang w:val="en-IN" w:eastAsia="en-IN"/>
        </w:rPr>
        <w:t>. Conversely, a trade and close below 24,</w:t>
      </w:r>
      <w:r w:rsidR="00E5219E">
        <w:rPr>
          <w:rFonts w:ascii="Times New Roman" w:eastAsia="Times New Roman" w:hAnsi="Times New Roman"/>
          <w:sz w:val="24"/>
          <w:szCs w:val="24"/>
          <w:lang w:val="en-IN" w:eastAsia="en-IN"/>
        </w:rPr>
        <w:t>261</w:t>
      </w:r>
      <w:r w:rsidRPr="00862B9C">
        <w:rPr>
          <w:rFonts w:ascii="Times New Roman" w:eastAsia="Times New Roman" w:hAnsi="Times New Roman"/>
          <w:sz w:val="24"/>
          <w:szCs w:val="24"/>
          <w:lang w:val="en-IN" w:eastAsia="en-IN"/>
        </w:rPr>
        <w:t xml:space="preserve"> may trigger a corrective move toward </w:t>
      </w:r>
      <w:r w:rsidR="00E5219E">
        <w:rPr>
          <w:rFonts w:ascii="Times New Roman" w:eastAsia="Times New Roman" w:hAnsi="Times New Roman"/>
          <w:sz w:val="24"/>
          <w:szCs w:val="24"/>
          <w:lang w:val="en-IN" w:eastAsia="en-IN"/>
        </w:rPr>
        <w:t>24023 – 23785 - 23507</w:t>
      </w:r>
      <w:r w:rsidRPr="00862B9C">
        <w:rPr>
          <w:rFonts w:ascii="Times New Roman" w:eastAsia="Times New Roman" w:hAnsi="Times New Roman"/>
          <w:sz w:val="24"/>
          <w:szCs w:val="24"/>
          <w:lang w:val="en-IN" w:eastAsia="en-IN"/>
        </w:rPr>
        <w:t xml:space="preserve"> levels.</w:t>
      </w:r>
    </w:p>
    <w:p w14:paraId="1E257BFF" w14:textId="49916FC5" w:rsidR="00862B9C" w:rsidRPr="00862B9C" w:rsidRDefault="00862B9C" w:rsidP="009735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IN" w:eastAsia="en-IN"/>
        </w:rPr>
      </w:pPr>
      <w:r w:rsidRPr="00862B9C">
        <w:rPr>
          <w:rFonts w:ascii="Times New Roman" w:eastAsia="Times New Roman" w:hAnsi="Times New Roman"/>
          <w:b/>
          <w:sz w:val="24"/>
          <w:szCs w:val="24"/>
          <w:lang w:val="en-IN" w:eastAsia="en-IN"/>
        </w:rPr>
        <w:t xml:space="preserve">Broadly, the current price structure suggests a high probability that prices may find support in the 24,500 – 24,273 zone, from where buying interest could emerge, potentially propelling Nifty toward the </w:t>
      </w:r>
      <w:r w:rsidR="00E5219E" w:rsidRPr="00E5219E">
        <w:rPr>
          <w:rFonts w:ascii="Times New Roman" w:eastAsia="Times New Roman" w:hAnsi="Times New Roman"/>
          <w:b/>
          <w:sz w:val="24"/>
          <w:szCs w:val="24"/>
          <w:lang w:val="en-IN" w:eastAsia="en-IN"/>
        </w:rPr>
        <w:t>24829 – 25067 – 25345</w:t>
      </w:r>
      <w:r w:rsidR="00E5219E">
        <w:rPr>
          <w:rFonts w:ascii="Times New Roman" w:eastAsia="Times New Roman" w:hAnsi="Times New Roman"/>
          <w:sz w:val="24"/>
          <w:szCs w:val="24"/>
          <w:lang w:val="en-IN" w:eastAsia="en-IN"/>
        </w:rPr>
        <w:t xml:space="preserve"> </w:t>
      </w:r>
      <w:r w:rsidRPr="00862B9C">
        <w:rPr>
          <w:rFonts w:ascii="Times New Roman" w:eastAsia="Times New Roman" w:hAnsi="Times New Roman"/>
          <w:b/>
          <w:sz w:val="24"/>
          <w:szCs w:val="24"/>
          <w:lang w:val="en-IN" w:eastAsia="en-IN"/>
        </w:rPr>
        <w:t>levels. Hence, a cautiously positive approach is advisable at current levels.</w:t>
      </w:r>
    </w:p>
    <w:p w14:paraId="5A5EE8FF" w14:textId="074F5466" w:rsidR="002C79C3" w:rsidRPr="00586E8D" w:rsidRDefault="00023698" w:rsidP="0092029B">
      <w:pPr>
        <w:autoSpaceDE w:val="0"/>
        <w:autoSpaceDN w:val="0"/>
        <w:adjustRightInd w:val="0"/>
        <w:jc w:val="both"/>
        <w:rPr>
          <w:b/>
        </w:rPr>
      </w:pPr>
    </w:p>
    <w:sectPr w:rsidR="002C79C3" w:rsidRPr="00586E8D" w:rsidSect="003900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214"/>
    <w:rsid w:val="00007077"/>
    <w:rsid w:val="0001574E"/>
    <w:rsid w:val="00015F8F"/>
    <w:rsid w:val="00016D3E"/>
    <w:rsid w:val="00023698"/>
    <w:rsid w:val="00026EB3"/>
    <w:rsid w:val="00031A23"/>
    <w:rsid w:val="00032848"/>
    <w:rsid w:val="00035B14"/>
    <w:rsid w:val="00050C90"/>
    <w:rsid w:val="0005277A"/>
    <w:rsid w:val="00053367"/>
    <w:rsid w:val="00074B3D"/>
    <w:rsid w:val="000762AF"/>
    <w:rsid w:val="000767A2"/>
    <w:rsid w:val="0007778C"/>
    <w:rsid w:val="00080712"/>
    <w:rsid w:val="00085E44"/>
    <w:rsid w:val="0008787E"/>
    <w:rsid w:val="000A09D6"/>
    <w:rsid w:val="000A1AB2"/>
    <w:rsid w:val="000A2A8F"/>
    <w:rsid w:val="000A4676"/>
    <w:rsid w:val="000C62DB"/>
    <w:rsid w:val="000D2E5C"/>
    <w:rsid w:val="000E1115"/>
    <w:rsid w:val="000E65BE"/>
    <w:rsid w:val="000F1ABF"/>
    <w:rsid w:val="000F78FB"/>
    <w:rsid w:val="001036AB"/>
    <w:rsid w:val="00107B40"/>
    <w:rsid w:val="00110E56"/>
    <w:rsid w:val="00115AD5"/>
    <w:rsid w:val="0012525C"/>
    <w:rsid w:val="00127DE5"/>
    <w:rsid w:val="001504E4"/>
    <w:rsid w:val="00156E21"/>
    <w:rsid w:val="001656A2"/>
    <w:rsid w:val="00172FA5"/>
    <w:rsid w:val="00193176"/>
    <w:rsid w:val="00197994"/>
    <w:rsid w:val="001A4FBF"/>
    <w:rsid w:val="001B3B4D"/>
    <w:rsid w:val="001B4D3C"/>
    <w:rsid w:val="001B5725"/>
    <w:rsid w:val="001C2760"/>
    <w:rsid w:val="001E11C5"/>
    <w:rsid w:val="001F4C1C"/>
    <w:rsid w:val="00211383"/>
    <w:rsid w:val="002168D1"/>
    <w:rsid w:val="002169FD"/>
    <w:rsid w:val="0023299E"/>
    <w:rsid w:val="00251D0D"/>
    <w:rsid w:val="00255047"/>
    <w:rsid w:val="0025778B"/>
    <w:rsid w:val="00261214"/>
    <w:rsid w:val="00265369"/>
    <w:rsid w:val="00273C8E"/>
    <w:rsid w:val="0028340D"/>
    <w:rsid w:val="00286BC3"/>
    <w:rsid w:val="00291720"/>
    <w:rsid w:val="002A5B8F"/>
    <w:rsid w:val="002B2AC4"/>
    <w:rsid w:val="002C3375"/>
    <w:rsid w:val="002D379A"/>
    <w:rsid w:val="002D5C61"/>
    <w:rsid w:val="0033637D"/>
    <w:rsid w:val="00345ADE"/>
    <w:rsid w:val="003510BD"/>
    <w:rsid w:val="00352BC3"/>
    <w:rsid w:val="00354038"/>
    <w:rsid w:val="00362339"/>
    <w:rsid w:val="00364E13"/>
    <w:rsid w:val="0036541E"/>
    <w:rsid w:val="003900A7"/>
    <w:rsid w:val="00392E4B"/>
    <w:rsid w:val="003946BA"/>
    <w:rsid w:val="003A6A67"/>
    <w:rsid w:val="003B18DD"/>
    <w:rsid w:val="003C706D"/>
    <w:rsid w:val="003D4DD7"/>
    <w:rsid w:val="003D5604"/>
    <w:rsid w:val="003E1B50"/>
    <w:rsid w:val="00401F7E"/>
    <w:rsid w:val="00420F97"/>
    <w:rsid w:val="004309A5"/>
    <w:rsid w:val="004375A0"/>
    <w:rsid w:val="00445ABC"/>
    <w:rsid w:val="00456F06"/>
    <w:rsid w:val="0045721E"/>
    <w:rsid w:val="00477F92"/>
    <w:rsid w:val="00484DA8"/>
    <w:rsid w:val="00493D93"/>
    <w:rsid w:val="004A2AC3"/>
    <w:rsid w:val="004B1787"/>
    <w:rsid w:val="004B1D5D"/>
    <w:rsid w:val="004B1DEC"/>
    <w:rsid w:val="004B50B6"/>
    <w:rsid w:val="004B5530"/>
    <w:rsid w:val="004C2A46"/>
    <w:rsid w:val="004C55FB"/>
    <w:rsid w:val="004D7628"/>
    <w:rsid w:val="004E2B91"/>
    <w:rsid w:val="004F3347"/>
    <w:rsid w:val="004F642B"/>
    <w:rsid w:val="005120B2"/>
    <w:rsid w:val="00517399"/>
    <w:rsid w:val="00543030"/>
    <w:rsid w:val="00552997"/>
    <w:rsid w:val="005740B4"/>
    <w:rsid w:val="00586E8D"/>
    <w:rsid w:val="005970D3"/>
    <w:rsid w:val="005A1D21"/>
    <w:rsid w:val="005A25BD"/>
    <w:rsid w:val="005A3345"/>
    <w:rsid w:val="005A59D7"/>
    <w:rsid w:val="005B71A3"/>
    <w:rsid w:val="005B79A3"/>
    <w:rsid w:val="005E0690"/>
    <w:rsid w:val="005E0DF3"/>
    <w:rsid w:val="005E220B"/>
    <w:rsid w:val="005E78CA"/>
    <w:rsid w:val="005F1F1C"/>
    <w:rsid w:val="005F27A5"/>
    <w:rsid w:val="00605858"/>
    <w:rsid w:val="00610971"/>
    <w:rsid w:val="00612C3A"/>
    <w:rsid w:val="00623565"/>
    <w:rsid w:val="0063116E"/>
    <w:rsid w:val="0063146E"/>
    <w:rsid w:val="006457CF"/>
    <w:rsid w:val="00645CEA"/>
    <w:rsid w:val="00651B73"/>
    <w:rsid w:val="00653115"/>
    <w:rsid w:val="00665F95"/>
    <w:rsid w:val="006919CE"/>
    <w:rsid w:val="006955D1"/>
    <w:rsid w:val="006A2B0D"/>
    <w:rsid w:val="006A3D4F"/>
    <w:rsid w:val="006A5359"/>
    <w:rsid w:val="006A7728"/>
    <w:rsid w:val="006A787E"/>
    <w:rsid w:val="006B3820"/>
    <w:rsid w:val="006C54C4"/>
    <w:rsid w:val="006D0EC9"/>
    <w:rsid w:val="006E209C"/>
    <w:rsid w:val="006E3B2E"/>
    <w:rsid w:val="006E570D"/>
    <w:rsid w:val="006F020E"/>
    <w:rsid w:val="00712CF6"/>
    <w:rsid w:val="007142C3"/>
    <w:rsid w:val="00737C46"/>
    <w:rsid w:val="00741CD2"/>
    <w:rsid w:val="00754CCB"/>
    <w:rsid w:val="00761DDB"/>
    <w:rsid w:val="00767FCC"/>
    <w:rsid w:val="007A476C"/>
    <w:rsid w:val="007A4C75"/>
    <w:rsid w:val="007B08E8"/>
    <w:rsid w:val="007C02B9"/>
    <w:rsid w:val="007C40BC"/>
    <w:rsid w:val="007C7331"/>
    <w:rsid w:val="007D66BF"/>
    <w:rsid w:val="007D74DD"/>
    <w:rsid w:val="007E1D1F"/>
    <w:rsid w:val="007F4725"/>
    <w:rsid w:val="00803024"/>
    <w:rsid w:val="008038F7"/>
    <w:rsid w:val="00817769"/>
    <w:rsid w:val="00826EF3"/>
    <w:rsid w:val="00842DCA"/>
    <w:rsid w:val="00854054"/>
    <w:rsid w:val="00854D01"/>
    <w:rsid w:val="008564B7"/>
    <w:rsid w:val="00857976"/>
    <w:rsid w:val="00862B9C"/>
    <w:rsid w:val="00871AA0"/>
    <w:rsid w:val="00875BD1"/>
    <w:rsid w:val="00875BF7"/>
    <w:rsid w:val="00876A48"/>
    <w:rsid w:val="008771C4"/>
    <w:rsid w:val="00892947"/>
    <w:rsid w:val="008931AD"/>
    <w:rsid w:val="008B37C1"/>
    <w:rsid w:val="008C25AD"/>
    <w:rsid w:val="008E673F"/>
    <w:rsid w:val="008F5F9A"/>
    <w:rsid w:val="009047DA"/>
    <w:rsid w:val="00911977"/>
    <w:rsid w:val="00912F2C"/>
    <w:rsid w:val="00917B45"/>
    <w:rsid w:val="0092029B"/>
    <w:rsid w:val="00920B8E"/>
    <w:rsid w:val="0092286C"/>
    <w:rsid w:val="00926A9F"/>
    <w:rsid w:val="00932B25"/>
    <w:rsid w:val="009368F2"/>
    <w:rsid w:val="00936958"/>
    <w:rsid w:val="00943F2D"/>
    <w:rsid w:val="00973570"/>
    <w:rsid w:val="0097368A"/>
    <w:rsid w:val="00976C96"/>
    <w:rsid w:val="009915E8"/>
    <w:rsid w:val="00992FC0"/>
    <w:rsid w:val="00997194"/>
    <w:rsid w:val="0099734F"/>
    <w:rsid w:val="009A4375"/>
    <w:rsid w:val="009B4C14"/>
    <w:rsid w:val="009B5D2E"/>
    <w:rsid w:val="009C3FDE"/>
    <w:rsid w:val="009F446D"/>
    <w:rsid w:val="009F54C8"/>
    <w:rsid w:val="00A0273B"/>
    <w:rsid w:val="00A02C03"/>
    <w:rsid w:val="00A10A80"/>
    <w:rsid w:val="00A207F8"/>
    <w:rsid w:val="00A21A6E"/>
    <w:rsid w:val="00A31E04"/>
    <w:rsid w:val="00A45A89"/>
    <w:rsid w:val="00A51B55"/>
    <w:rsid w:val="00A55AE3"/>
    <w:rsid w:val="00A6003E"/>
    <w:rsid w:val="00A60339"/>
    <w:rsid w:val="00A9212D"/>
    <w:rsid w:val="00AA2DCC"/>
    <w:rsid w:val="00AB7144"/>
    <w:rsid w:val="00AC1818"/>
    <w:rsid w:val="00AC1E89"/>
    <w:rsid w:val="00AC4845"/>
    <w:rsid w:val="00AE076D"/>
    <w:rsid w:val="00AE1108"/>
    <w:rsid w:val="00AE3E59"/>
    <w:rsid w:val="00AE5D35"/>
    <w:rsid w:val="00AF2B71"/>
    <w:rsid w:val="00AF3EB1"/>
    <w:rsid w:val="00B13880"/>
    <w:rsid w:val="00B145BB"/>
    <w:rsid w:val="00B1607B"/>
    <w:rsid w:val="00B27532"/>
    <w:rsid w:val="00B34585"/>
    <w:rsid w:val="00B412E9"/>
    <w:rsid w:val="00B42BD0"/>
    <w:rsid w:val="00B57C64"/>
    <w:rsid w:val="00B629AE"/>
    <w:rsid w:val="00B71A8E"/>
    <w:rsid w:val="00B74908"/>
    <w:rsid w:val="00B77BE7"/>
    <w:rsid w:val="00B81162"/>
    <w:rsid w:val="00B86453"/>
    <w:rsid w:val="00BA0B61"/>
    <w:rsid w:val="00BA1C7B"/>
    <w:rsid w:val="00BB3E87"/>
    <w:rsid w:val="00BB3FFA"/>
    <w:rsid w:val="00BC3ECE"/>
    <w:rsid w:val="00C00B58"/>
    <w:rsid w:val="00C12AA2"/>
    <w:rsid w:val="00C21ECD"/>
    <w:rsid w:val="00C238AE"/>
    <w:rsid w:val="00C24C27"/>
    <w:rsid w:val="00C25C65"/>
    <w:rsid w:val="00C33867"/>
    <w:rsid w:val="00C46775"/>
    <w:rsid w:val="00C601B5"/>
    <w:rsid w:val="00C65FD5"/>
    <w:rsid w:val="00CA64A3"/>
    <w:rsid w:val="00CA72CE"/>
    <w:rsid w:val="00CA741C"/>
    <w:rsid w:val="00CA7807"/>
    <w:rsid w:val="00CB4A2E"/>
    <w:rsid w:val="00CB529C"/>
    <w:rsid w:val="00CC2E8E"/>
    <w:rsid w:val="00CD52D7"/>
    <w:rsid w:val="00CE6D61"/>
    <w:rsid w:val="00CF44C7"/>
    <w:rsid w:val="00CF5D40"/>
    <w:rsid w:val="00D250CC"/>
    <w:rsid w:val="00D41934"/>
    <w:rsid w:val="00D47CE4"/>
    <w:rsid w:val="00D70069"/>
    <w:rsid w:val="00D82836"/>
    <w:rsid w:val="00D85A50"/>
    <w:rsid w:val="00D90B87"/>
    <w:rsid w:val="00D94E9B"/>
    <w:rsid w:val="00DB611F"/>
    <w:rsid w:val="00DC2B8A"/>
    <w:rsid w:val="00DC48E5"/>
    <w:rsid w:val="00DD2565"/>
    <w:rsid w:val="00DD7426"/>
    <w:rsid w:val="00DF22E3"/>
    <w:rsid w:val="00DF2839"/>
    <w:rsid w:val="00DF2E2A"/>
    <w:rsid w:val="00DF7E65"/>
    <w:rsid w:val="00E10FC3"/>
    <w:rsid w:val="00E2371F"/>
    <w:rsid w:val="00E24256"/>
    <w:rsid w:val="00E36429"/>
    <w:rsid w:val="00E46402"/>
    <w:rsid w:val="00E5219E"/>
    <w:rsid w:val="00E722B5"/>
    <w:rsid w:val="00E722F3"/>
    <w:rsid w:val="00E76838"/>
    <w:rsid w:val="00E7777A"/>
    <w:rsid w:val="00E825F5"/>
    <w:rsid w:val="00E909AD"/>
    <w:rsid w:val="00EA0B87"/>
    <w:rsid w:val="00EA4865"/>
    <w:rsid w:val="00EA5197"/>
    <w:rsid w:val="00EC2E15"/>
    <w:rsid w:val="00EC2F85"/>
    <w:rsid w:val="00EC4408"/>
    <w:rsid w:val="00EC7DE0"/>
    <w:rsid w:val="00EE2AAC"/>
    <w:rsid w:val="00EE3A3E"/>
    <w:rsid w:val="00EF24D0"/>
    <w:rsid w:val="00EF265C"/>
    <w:rsid w:val="00EF35E2"/>
    <w:rsid w:val="00F005DF"/>
    <w:rsid w:val="00F246BF"/>
    <w:rsid w:val="00F27269"/>
    <w:rsid w:val="00F33C51"/>
    <w:rsid w:val="00F45600"/>
    <w:rsid w:val="00F56D33"/>
    <w:rsid w:val="00F63D99"/>
    <w:rsid w:val="00F66A91"/>
    <w:rsid w:val="00F67703"/>
    <w:rsid w:val="00F76FE6"/>
    <w:rsid w:val="00F83D7C"/>
    <w:rsid w:val="00F962BD"/>
    <w:rsid w:val="00FA2A1C"/>
    <w:rsid w:val="00FC2682"/>
    <w:rsid w:val="00FC49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05CB1"/>
  <w15:docId w15:val="{0E5F44E1-1B96-46BF-B78A-5B5BFC7FA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461" w:hanging="27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214"/>
    <w:pPr>
      <w:spacing w:after="200" w:line="276" w:lineRule="auto"/>
      <w:ind w:left="0" w:firstLine="0"/>
      <w:jc w:val="left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2612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61214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682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21E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7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arihant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mileenvasudeo@rihant.co.in</cp:lastModifiedBy>
  <cp:revision>61</cp:revision>
  <cp:lastPrinted>2020-12-01T14:41:00Z</cp:lastPrinted>
  <dcterms:created xsi:type="dcterms:W3CDTF">2023-02-18T09:06:00Z</dcterms:created>
  <dcterms:modified xsi:type="dcterms:W3CDTF">2025-09-01T04:30:00Z</dcterms:modified>
</cp:coreProperties>
</file>