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4AD" w:rsidRDefault="00153738" w:rsidP="00AA6757">
      <w:pPr>
        <w:jc w:val="both"/>
        <w:rPr>
          <w:b/>
          <w:sz w:val="20"/>
          <w:szCs w:val="20"/>
        </w:rPr>
      </w:pPr>
      <w:r>
        <w:rPr>
          <w:b/>
          <w:noProof/>
          <w:sz w:val="20"/>
          <w:szCs w:val="20"/>
        </w:rPr>
        <w:pict>
          <v:shapetype id="_x0000_t202" coordsize="21600,21600" o:spt="202" path="m,l,21600r21600,l21600,xe">
            <v:stroke joinstyle="miter"/>
            <v:path gradientshapeok="t" o:connecttype="rect"/>
          </v:shapetype>
          <v:shape id="Text Box 6" o:spid="_x0000_s1026" type="#_x0000_t202" style="position:absolute;left:0;text-align:left;margin-left:-18pt;margin-top:32.4pt;width:645.75pt;height:15pt;z-index:25165875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" strokecolor="white [3212]">
            <v:textbox>
              <w:txbxContent>
                <w:p w:rsidR="00E33B26" w:rsidRDefault="00E33B26" w:rsidP="00C727D8">
                  <w:pPr>
                    <w:shd w:val="clear" w:color="auto" w:fill="00B050"/>
                  </w:pPr>
                </w:p>
              </w:txbxContent>
            </v:textbox>
            <w10:wrap anchorx="page"/>
          </v:shape>
        </w:pict>
      </w:r>
      <w:r w:rsidR="00C727D8">
        <w:rPr>
          <w:b/>
          <w:noProof/>
          <w:sz w:val="20"/>
          <w:szCs w:val="20"/>
        </w:rPr>
        <w:drawing>
          <wp:inline distT="0" distB="0" distL="0" distR="0">
            <wp:extent cx="933450" cy="461759"/>
            <wp:effectExtent l="0" t="0" r="0" b="0"/>
            <wp:docPr id="1" name="Picture 0" descr="New Ariha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Arihant Logo.png"/>
                    <pic:cNvPicPr/>
                  </pic:nvPicPr>
                  <pic:blipFill>
                    <a:blip r:embed="rId8" cstate="print"/>
                    <a:stretch>
                      <a:fillRect/>
                    </a:stretch>
                  </pic:blipFill>
                  <pic:spPr>
                    <a:xfrm>
                      <a:off x="0" y="0"/>
                      <a:ext cx="1023658" cy="506383"/>
                    </a:xfrm>
                    <a:prstGeom prst="rect">
                      <a:avLst/>
                    </a:prstGeom>
                  </pic:spPr>
                </pic:pic>
              </a:graphicData>
            </a:graphic>
          </wp:inline>
        </w:drawing>
      </w:r>
    </w:p>
    <w:p w:rsidR="00E71E9E" w:rsidRDefault="00E71E9E" w:rsidP="00AA6757">
      <w:pPr>
        <w:jc w:val="both"/>
        <w:rPr>
          <w:b/>
          <w:sz w:val="20"/>
          <w:szCs w:val="20"/>
        </w:rPr>
      </w:pPr>
    </w:p>
    <w:p w:rsidR="00AA6757" w:rsidRPr="004162BE" w:rsidRDefault="00153738" w:rsidP="00AA6757">
      <w:pPr>
        <w:jc w:val="both"/>
        <w:rPr>
          <w:b/>
          <w:sz w:val="20"/>
          <w:szCs w:val="20"/>
        </w:rPr>
      </w:pPr>
      <w:r>
        <w:rPr>
          <w:b/>
          <w:noProof/>
          <w:sz w:val="20"/>
          <w:szCs w:val="20"/>
        </w:rPr>
        <w:pict>
          <v:shape id="Text Box 2" o:spid="_x0000_s1027" type="#_x0000_t202" style="position:absolute;left:0;text-align:left;margin-left:9.1pt;margin-top:1.5pt;width:252.65pt;height:20.6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" fillcolor="#f79646" stroked="f">
            <v:textbox>
              <w:txbxContent>
                <w:p w:rsidR="00C958F0" w:rsidRPr="00C958F0" w:rsidRDefault="005964ED" w:rsidP="00C958F0">
                  <w:pPr>
                    <w:rPr>
                      <w:b/>
                      <w:sz w:val="24"/>
                      <w:szCs w:val="24"/>
                    </w:rPr>
                  </w:pPr>
                  <w:r>
                    <w:rPr>
                      <w:b/>
                      <w:bCs/>
                      <w:sz w:val="24"/>
                      <w:szCs w:val="24"/>
                    </w:rPr>
                    <w:t>Sterlite Technologies</w:t>
                  </w:r>
                  <w:r w:rsidR="00C958F0" w:rsidRPr="00C958F0">
                    <w:rPr>
                      <w:b/>
                      <w:bCs/>
                      <w:sz w:val="24"/>
                      <w:szCs w:val="24"/>
                    </w:rPr>
                    <w:t xml:space="preserve"> Ltd</w:t>
                  </w:r>
                </w:p>
                <w:p w:rsidR="00E33B26" w:rsidRPr="003307B1" w:rsidRDefault="00E33B26" w:rsidP="0041270A">
                  <w:pPr>
                    <w:rPr>
                      <w:szCs w:val="20"/>
                    </w:rPr>
                  </w:pPr>
                </w:p>
              </w:txbxContent>
            </v:textbox>
          </v:shape>
        </w:pict>
      </w:r>
    </w:p>
    <w:p w:rsidR="00AA6757" w:rsidRPr="004162BE" w:rsidRDefault="00153738" w:rsidP="00AA6757">
      <w:pPr>
        <w:jc w:val="both"/>
        <w:rPr>
          <w:b/>
          <w:sz w:val="20"/>
          <w:szCs w:val="20"/>
        </w:rPr>
      </w:pPr>
      <w:r w:rsidRPr="00153738">
        <w:rPr>
          <w:b/>
          <w:bCs/>
          <w:noProof/>
          <w:color w:val="000000"/>
          <w:sz w:val="20"/>
          <w:szCs w:val="20"/>
        </w:rPr>
        <w:pict>
          <v:shape id="Text Box 3" o:spid="_x0000_s1028" type="#_x0000_t202" style="position:absolute;left:0;text-align:left;margin-left:8.35pt;margin-top:4.45pt;width:253.4pt;height:20.6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" fillcolor="#f79646" stroked="f">
            <v:textbox>
              <w:txbxContent>
                <w:p w:rsidR="00E33B26" w:rsidRPr="004A5D4D" w:rsidRDefault="005964ED" w:rsidP="00AA6757">
                  <w:pPr>
                    <w:rPr>
                      <w:b/>
                      <w:sz w:val="24"/>
                      <w:szCs w:val="24"/>
                    </w:rPr>
                  </w:pPr>
                  <w:r>
                    <w:rPr>
                      <w:b/>
                      <w:sz w:val="24"/>
                      <w:szCs w:val="24"/>
                    </w:rPr>
                    <w:t xml:space="preserve">Buy                 </w:t>
                  </w:r>
                  <w:r w:rsidR="00E33B26" w:rsidRPr="004A5D4D">
                    <w:rPr>
                      <w:b/>
                      <w:sz w:val="24"/>
                      <w:szCs w:val="24"/>
                    </w:rPr>
                    <w:t>Target Price:</w:t>
                  </w:r>
                  <w:r w:rsidR="00C958F0">
                    <w:rPr>
                      <w:b/>
                      <w:sz w:val="24"/>
                      <w:szCs w:val="24"/>
                    </w:rPr>
                    <w:t>INR</w:t>
                  </w:r>
                  <w:r>
                    <w:rPr>
                      <w:b/>
                      <w:sz w:val="24"/>
                      <w:szCs w:val="24"/>
                    </w:rPr>
                    <w:t>202</w:t>
                  </w:r>
                  <w:r w:rsidR="002751B1">
                    <w:rPr>
                      <w:b/>
                      <w:sz w:val="24"/>
                      <w:szCs w:val="24"/>
                    </w:rPr>
                    <w:t xml:space="preserve"> 12631263</w:t>
                  </w:r>
                  <w:r w:rsidR="004507CC">
                    <w:rPr>
                      <w:b/>
                      <w:sz w:val="24"/>
                      <w:szCs w:val="24"/>
                    </w:rPr>
                    <w:t>14141500</w:t>
                  </w:r>
                  <w:r w:rsidR="00E33B26">
                    <w:rPr>
                      <w:b/>
                      <w:sz w:val="24"/>
                      <w:szCs w:val="24"/>
                    </w:rPr>
                    <w:t>1221112221122</w:t>
                  </w:r>
                  <w:r w:rsidR="00E33B26" w:rsidRPr="004A5D4D">
                    <w:rPr>
                      <w:b/>
                      <w:sz w:val="24"/>
                      <w:szCs w:val="24"/>
                    </w:rPr>
                    <w:t>Rs</w:t>
                  </w:r>
                </w:p>
              </w:txbxContent>
            </v:textbox>
          </v:shape>
        </w:pict>
      </w:r>
    </w:p>
    <w:tbl>
      <w:tblPr>
        <w:tblpPr w:leftFromText="180" w:rightFromText="180" w:vertAnchor="text" w:horzAnchor="margin" w:tblpX="288" w:tblpY="315"/>
        <w:tblW w:w="5009" w:type="dxa"/>
        <w:tblBorders>
          <w:top w:val="single" w:sz="8" w:space="0" w:color="4F81BD"/>
          <w:bottom w:val="single" w:sz="8" w:space="0" w:color="4F81BD"/>
        </w:tblBorders>
        <w:tblLook w:val="04A0"/>
      </w:tblPr>
      <w:tblGrid>
        <w:gridCol w:w="2287"/>
        <w:gridCol w:w="2722"/>
      </w:tblGrid>
      <w:tr w:rsidR="00AA6757" w:rsidRPr="004162BE" w:rsidTr="006C739A">
        <w:trPr>
          <w:trHeight w:val="316"/>
        </w:trPr>
        <w:tc>
          <w:tcPr>
            <w:tcW w:w="2287" w:type="dxa"/>
            <w:tcBorders>
              <w:top w:val="nil"/>
              <w:left w:val="nil"/>
              <w:bottom w:val="nil"/>
              <w:right w:val="nil"/>
            </w:tcBorders>
            <w:shd w:val="clear" w:color="auto" w:fill="336699"/>
            <w:noWrap/>
            <w:hideMark/>
          </w:tcPr>
          <w:p w:rsidR="00AA6757" w:rsidRPr="004162BE" w:rsidRDefault="00AA6757" w:rsidP="00AA6757">
            <w:pPr>
              <w:spacing w:after="0" w:line="240" w:lineRule="auto"/>
              <w:rPr>
                <w:b/>
                <w:bCs/>
                <w:color w:val="FFFFFF"/>
                <w:sz w:val="20"/>
                <w:szCs w:val="20"/>
              </w:rPr>
            </w:pPr>
            <w:r w:rsidRPr="004162BE">
              <w:rPr>
                <w:b/>
                <w:bCs/>
                <w:color w:val="FFFFFF"/>
                <w:sz w:val="20"/>
                <w:szCs w:val="20"/>
              </w:rPr>
              <w:t>Value Parameters</w:t>
            </w:r>
          </w:p>
        </w:tc>
        <w:tc>
          <w:tcPr>
            <w:tcW w:w="2722" w:type="dxa"/>
            <w:tcBorders>
              <w:top w:val="nil"/>
              <w:left w:val="nil"/>
              <w:bottom w:val="nil"/>
              <w:right w:val="nil"/>
            </w:tcBorders>
            <w:shd w:val="clear" w:color="auto" w:fill="336699"/>
            <w:noWrap/>
            <w:hideMark/>
          </w:tcPr>
          <w:p w:rsidR="00AA6757" w:rsidRPr="004162BE" w:rsidRDefault="00AA6757" w:rsidP="00AA6757">
            <w:pPr>
              <w:spacing w:after="0" w:line="240" w:lineRule="auto"/>
              <w:jc w:val="right"/>
              <w:rPr>
                <w:color w:val="FFFFFF"/>
                <w:sz w:val="20"/>
                <w:szCs w:val="20"/>
              </w:rPr>
            </w:pPr>
          </w:p>
        </w:tc>
      </w:tr>
      <w:tr w:rsidR="00AA6757" w:rsidRPr="004162BE" w:rsidTr="006C739A">
        <w:trPr>
          <w:trHeight w:val="316"/>
        </w:trPr>
        <w:tc>
          <w:tcPr>
            <w:tcW w:w="2287" w:type="dxa"/>
            <w:tcBorders>
              <w:top w:val="nil"/>
              <w:left w:val="nil"/>
              <w:bottom w:val="nil"/>
              <w:right w:val="nil"/>
            </w:tcBorders>
            <w:shd w:val="clear" w:color="auto" w:fill="BFBFBF"/>
            <w:noWrap/>
            <w:hideMark/>
          </w:tcPr>
          <w:p w:rsidR="00AA6757" w:rsidRPr="004162BE" w:rsidRDefault="00C07033" w:rsidP="004A5D4D">
            <w:pPr>
              <w:spacing w:after="0" w:line="240" w:lineRule="auto"/>
              <w:jc w:val="both"/>
              <w:rPr>
                <w:bCs/>
                <w:color w:val="000000"/>
                <w:sz w:val="20"/>
                <w:szCs w:val="20"/>
              </w:rPr>
            </w:pPr>
            <w:r>
              <w:rPr>
                <w:bCs/>
                <w:color w:val="000000"/>
                <w:sz w:val="20"/>
                <w:szCs w:val="20"/>
              </w:rPr>
              <w:t>NS</w:t>
            </w:r>
            <w:r w:rsidR="00AA6757" w:rsidRPr="004162BE">
              <w:rPr>
                <w:bCs/>
                <w:color w:val="000000"/>
                <w:sz w:val="20"/>
                <w:szCs w:val="20"/>
              </w:rPr>
              <w:t>E Code</w:t>
            </w:r>
          </w:p>
        </w:tc>
        <w:tc>
          <w:tcPr>
            <w:tcW w:w="2722" w:type="dxa"/>
            <w:tcBorders>
              <w:top w:val="nil"/>
              <w:left w:val="nil"/>
              <w:bottom w:val="nil"/>
              <w:right w:val="nil"/>
            </w:tcBorders>
            <w:shd w:val="clear" w:color="auto" w:fill="BFBFBF"/>
            <w:noWrap/>
            <w:hideMark/>
          </w:tcPr>
          <w:p w:rsidR="00AA6757" w:rsidRPr="004162BE" w:rsidRDefault="005964ED" w:rsidP="00C958F0">
            <w:pPr>
              <w:spacing w:after="0" w:line="240" w:lineRule="auto"/>
              <w:jc w:val="right"/>
              <w:rPr>
                <w:color w:val="000000"/>
                <w:sz w:val="20"/>
                <w:szCs w:val="20"/>
              </w:rPr>
            </w:pPr>
            <w:r>
              <w:rPr>
                <w:color w:val="000000"/>
                <w:sz w:val="20"/>
                <w:szCs w:val="20"/>
                <w:lang w:val="en-IN"/>
              </w:rPr>
              <w:t>STLTECH</w:t>
            </w:r>
          </w:p>
        </w:tc>
      </w:tr>
      <w:tr w:rsidR="006C739A" w:rsidRPr="004162BE" w:rsidTr="006C739A">
        <w:trPr>
          <w:trHeight w:val="316"/>
        </w:trPr>
        <w:tc>
          <w:tcPr>
            <w:tcW w:w="2287" w:type="dxa"/>
            <w:tcBorders>
              <w:top w:val="nil"/>
              <w:left w:val="nil"/>
              <w:right w:val="nil"/>
            </w:tcBorders>
            <w:shd w:val="clear" w:color="auto" w:fill="BFBFBF"/>
            <w:noWrap/>
            <w:hideMark/>
          </w:tcPr>
          <w:p w:rsidR="006C739A" w:rsidRPr="00773B46" w:rsidRDefault="006C739A" w:rsidP="00C958F0">
            <w:pPr>
              <w:spacing w:after="0" w:line="240" w:lineRule="auto"/>
              <w:jc w:val="both"/>
              <w:rPr>
                <w:bCs/>
                <w:color w:val="000000"/>
                <w:sz w:val="18"/>
                <w:szCs w:val="18"/>
                <w:vertAlign w:val="superscript"/>
              </w:rPr>
            </w:pPr>
            <w:r w:rsidRPr="004162BE">
              <w:rPr>
                <w:bCs/>
                <w:color w:val="000000"/>
                <w:sz w:val="20"/>
                <w:szCs w:val="20"/>
              </w:rPr>
              <w:t>CMP</w:t>
            </w:r>
            <w:r w:rsidRPr="00A02EA1">
              <w:rPr>
                <w:bCs/>
                <w:color w:val="000000"/>
                <w:sz w:val="18"/>
                <w:szCs w:val="18"/>
              </w:rPr>
              <w:t xml:space="preserve">(As on </w:t>
            </w:r>
            <w:r w:rsidR="00773B46">
              <w:rPr>
                <w:bCs/>
                <w:color w:val="000000"/>
                <w:sz w:val="18"/>
                <w:szCs w:val="18"/>
              </w:rPr>
              <w:t>3rdJune</w:t>
            </w:r>
            <w:r>
              <w:rPr>
                <w:bCs/>
                <w:color w:val="000000"/>
                <w:sz w:val="18"/>
                <w:szCs w:val="18"/>
              </w:rPr>
              <w:t>202</w:t>
            </w:r>
            <w:r w:rsidR="00C958F0">
              <w:rPr>
                <w:bCs/>
                <w:color w:val="000000"/>
                <w:sz w:val="18"/>
                <w:szCs w:val="18"/>
              </w:rPr>
              <w:t>3</w:t>
            </w:r>
            <w:r>
              <w:rPr>
                <w:bCs/>
                <w:color w:val="000000"/>
                <w:sz w:val="18"/>
                <w:szCs w:val="18"/>
              </w:rPr>
              <w:t>)</w:t>
            </w:r>
          </w:p>
        </w:tc>
        <w:tc>
          <w:tcPr>
            <w:tcW w:w="2722" w:type="dxa"/>
            <w:tcBorders>
              <w:top w:val="nil"/>
              <w:left w:val="nil"/>
              <w:right w:val="nil"/>
            </w:tcBorders>
            <w:shd w:val="clear" w:color="auto" w:fill="BFBFBF"/>
            <w:noWrap/>
            <w:hideMark/>
          </w:tcPr>
          <w:p w:rsidR="006C739A" w:rsidRPr="004162BE" w:rsidRDefault="00C958F0" w:rsidP="00C958F0">
            <w:pPr>
              <w:spacing w:after="0" w:line="240" w:lineRule="auto"/>
              <w:jc w:val="right"/>
              <w:rPr>
                <w:color w:val="000000"/>
                <w:sz w:val="20"/>
                <w:szCs w:val="20"/>
              </w:rPr>
            </w:pPr>
            <w:r>
              <w:rPr>
                <w:bCs/>
                <w:color w:val="000000"/>
                <w:sz w:val="20"/>
                <w:szCs w:val="20"/>
              </w:rPr>
              <w:t>INR</w:t>
            </w:r>
            <w:r w:rsidR="005964ED">
              <w:rPr>
                <w:bCs/>
                <w:color w:val="000000"/>
                <w:sz w:val="20"/>
                <w:szCs w:val="20"/>
              </w:rPr>
              <w:t>1</w:t>
            </w:r>
            <w:r>
              <w:rPr>
                <w:bCs/>
                <w:color w:val="000000"/>
                <w:sz w:val="20"/>
                <w:szCs w:val="20"/>
              </w:rPr>
              <w:t>46</w:t>
            </w:r>
          </w:p>
        </w:tc>
      </w:tr>
      <w:tr w:rsidR="006C739A" w:rsidRPr="004162BE" w:rsidTr="006C739A">
        <w:trPr>
          <w:trHeight w:val="316"/>
        </w:trPr>
        <w:tc>
          <w:tcPr>
            <w:tcW w:w="2287" w:type="dxa"/>
            <w:shd w:val="clear" w:color="auto" w:fill="D9D9D9"/>
            <w:noWrap/>
            <w:hideMark/>
          </w:tcPr>
          <w:p w:rsidR="006C739A" w:rsidRPr="004162BE" w:rsidRDefault="00556B32" w:rsidP="00E62E0F">
            <w:pPr>
              <w:spacing w:after="0" w:line="240" w:lineRule="auto"/>
              <w:ind w:left="-144"/>
              <w:jc w:val="both"/>
              <w:rPr>
                <w:bCs/>
                <w:color w:val="000000"/>
                <w:sz w:val="20"/>
                <w:szCs w:val="20"/>
              </w:rPr>
            </w:pPr>
            <w:r>
              <w:rPr>
                <w:bCs/>
                <w:color w:val="000000"/>
                <w:sz w:val="20"/>
                <w:szCs w:val="20"/>
              </w:rPr>
              <w:t xml:space="preserve">   </w:t>
            </w:r>
            <w:r w:rsidR="006C739A" w:rsidRPr="004162BE">
              <w:rPr>
                <w:bCs/>
                <w:color w:val="000000"/>
                <w:sz w:val="20"/>
                <w:szCs w:val="20"/>
              </w:rPr>
              <w:t>Face Value</w:t>
            </w:r>
          </w:p>
        </w:tc>
        <w:tc>
          <w:tcPr>
            <w:tcW w:w="2722" w:type="dxa"/>
            <w:shd w:val="clear" w:color="auto" w:fill="D9D9D9"/>
            <w:noWrap/>
            <w:hideMark/>
          </w:tcPr>
          <w:p w:rsidR="006C739A" w:rsidRPr="004162BE" w:rsidRDefault="00C958F0" w:rsidP="00C958F0">
            <w:pPr>
              <w:spacing w:after="0" w:line="240" w:lineRule="auto"/>
              <w:jc w:val="right"/>
              <w:rPr>
                <w:bCs/>
                <w:color w:val="000000"/>
                <w:sz w:val="20"/>
                <w:szCs w:val="20"/>
              </w:rPr>
            </w:pPr>
            <w:r>
              <w:rPr>
                <w:color w:val="000000"/>
                <w:sz w:val="20"/>
                <w:szCs w:val="20"/>
              </w:rPr>
              <w:t>INR</w:t>
            </w:r>
            <w:r w:rsidR="005964ED">
              <w:rPr>
                <w:color w:val="000000"/>
                <w:sz w:val="20"/>
                <w:szCs w:val="20"/>
              </w:rPr>
              <w:t>2</w:t>
            </w:r>
          </w:p>
        </w:tc>
      </w:tr>
      <w:tr w:rsidR="006C739A" w:rsidRPr="004162BE" w:rsidTr="006C739A">
        <w:trPr>
          <w:trHeight w:val="316"/>
        </w:trPr>
        <w:tc>
          <w:tcPr>
            <w:tcW w:w="2287" w:type="dxa"/>
            <w:tcBorders>
              <w:left w:val="nil"/>
              <w:right w:val="nil"/>
            </w:tcBorders>
            <w:shd w:val="clear" w:color="auto" w:fill="BFBFBF"/>
            <w:noWrap/>
            <w:hideMark/>
          </w:tcPr>
          <w:p w:rsidR="006C739A" w:rsidRPr="004162BE" w:rsidRDefault="006C739A" w:rsidP="004A5D4D">
            <w:pPr>
              <w:spacing w:after="0" w:line="240" w:lineRule="auto"/>
              <w:jc w:val="both"/>
              <w:rPr>
                <w:bCs/>
                <w:color w:val="000000"/>
                <w:sz w:val="20"/>
                <w:szCs w:val="20"/>
              </w:rPr>
            </w:pPr>
            <w:r w:rsidRPr="004162BE">
              <w:rPr>
                <w:bCs/>
                <w:color w:val="000000"/>
                <w:sz w:val="20"/>
                <w:szCs w:val="20"/>
              </w:rPr>
              <w:t>52 Week High/Low</w:t>
            </w:r>
          </w:p>
        </w:tc>
        <w:tc>
          <w:tcPr>
            <w:tcW w:w="2722" w:type="dxa"/>
            <w:tcBorders>
              <w:left w:val="nil"/>
              <w:right w:val="nil"/>
            </w:tcBorders>
            <w:shd w:val="clear" w:color="auto" w:fill="BFBFBF"/>
            <w:noWrap/>
            <w:hideMark/>
          </w:tcPr>
          <w:p w:rsidR="006C739A" w:rsidRPr="004162BE" w:rsidRDefault="005964ED" w:rsidP="00C958F0">
            <w:pPr>
              <w:spacing w:after="0" w:line="240" w:lineRule="auto"/>
              <w:jc w:val="right"/>
              <w:rPr>
                <w:color w:val="000000"/>
                <w:sz w:val="20"/>
                <w:szCs w:val="20"/>
              </w:rPr>
            </w:pPr>
            <w:r>
              <w:rPr>
                <w:color w:val="000000"/>
                <w:sz w:val="20"/>
                <w:szCs w:val="20"/>
              </w:rPr>
              <w:t>193</w:t>
            </w:r>
            <w:r w:rsidR="006C739A" w:rsidRPr="004162BE">
              <w:rPr>
                <w:color w:val="000000"/>
                <w:sz w:val="20"/>
                <w:szCs w:val="20"/>
              </w:rPr>
              <w:t>/</w:t>
            </w:r>
            <w:r>
              <w:rPr>
                <w:color w:val="000000"/>
                <w:sz w:val="20"/>
                <w:szCs w:val="20"/>
              </w:rPr>
              <w:t>129</w:t>
            </w:r>
          </w:p>
        </w:tc>
      </w:tr>
      <w:tr w:rsidR="006C739A" w:rsidRPr="004162BE" w:rsidTr="006C739A">
        <w:trPr>
          <w:trHeight w:val="316"/>
        </w:trPr>
        <w:tc>
          <w:tcPr>
            <w:tcW w:w="2287" w:type="dxa"/>
            <w:shd w:val="clear" w:color="auto" w:fill="D9D9D9"/>
            <w:noWrap/>
            <w:hideMark/>
          </w:tcPr>
          <w:p w:rsidR="006C739A" w:rsidRPr="004162BE" w:rsidRDefault="00C958F0" w:rsidP="00C958F0">
            <w:pPr>
              <w:spacing w:after="0" w:line="240" w:lineRule="auto"/>
              <w:jc w:val="both"/>
              <w:rPr>
                <w:bCs/>
                <w:color w:val="000000"/>
                <w:sz w:val="20"/>
                <w:szCs w:val="20"/>
              </w:rPr>
            </w:pPr>
            <w:r>
              <w:rPr>
                <w:bCs/>
                <w:color w:val="000000"/>
                <w:sz w:val="20"/>
                <w:szCs w:val="20"/>
              </w:rPr>
              <w:t>Market Cap (INRMn</w:t>
            </w:r>
            <w:r w:rsidR="006C739A" w:rsidRPr="004162BE">
              <w:rPr>
                <w:bCs/>
                <w:color w:val="000000"/>
                <w:sz w:val="20"/>
                <w:szCs w:val="20"/>
              </w:rPr>
              <w:t>)</w:t>
            </w:r>
          </w:p>
        </w:tc>
        <w:tc>
          <w:tcPr>
            <w:tcW w:w="2722" w:type="dxa"/>
            <w:shd w:val="clear" w:color="auto" w:fill="D9D9D9"/>
            <w:noWrap/>
            <w:hideMark/>
          </w:tcPr>
          <w:p w:rsidR="006C739A" w:rsidRPr="004162BE" w:rsidRDefault="005964ED" w:rsidP="008756B1">
            <w:pPr>
              <w:spacing w:after="0" w:line="240" w:lineRule="auto"/>
              <w:jc w:val="right"/>
              <w:rPr>
                <w:color w:val="000000"/>
                <w:sz w:val="20"/>
                <w:szCs w:val="20"/>
              </w:rPr>
            </w:pPr>
            <w:r>
              <w:rPr>
                <w:color w:val="000000"/>
                <w:sz w:val="20"/>
                <w:szCs w:val="20"/>
              </w:rPr>
              <w:t>58,480</w:t>
            </w:r>
          </w:p>
        </w:tc>
      </w:tr>
      <w:tr w:rsidR="006C739A" w:rsidRPr="004162BE" w:rsidTr="006C739A">
        <w:trPr>
          <w:trHeight w:val="316"/>
        </w:trPr>
        <w:tc>
          <w:tcPr>
            <w:tcW w:w="2287" w:type="dxa"/>
            <w:tcBorders>
              <w:left w:val="nil"/>
              <w:right w:val="nil"/>
            </w:tcBorders>
            <w:shd w:val="clear" w:color="auto" w:fill="BFBFBF"/>
            <w:noWrap/>
            <w:hideMark/>
          </w:tcPr>
          <w:p w:rsidR="006C739A" w:rsidRPr="004162BE" w:rsidRDefault="006C739A" w:rsidP="00950798">
            <w:pPr>
              <w:spacing w:after="0" w:line="240" w:lineRule="auto"/>
              <w:jc w:val="both"/>
              <w:rPr>
                <w:bCs/>
                <w:color w:val="000000"/>
                <w:sz w:val="20"/>
                <w:szCs w:val="20"/>
              </w:rPr>
            </w:pPr>
            <w:r>
              <w:rPr>
                <w:bCs/>
                <w:color w:val="000000"/>
                <w:sz w:val="20"/>
                <w:szCs w:val="20"/>
              </w:rPr>
              <w:t>EPS</w:t>
            </w:r>
            <w:r w:rsidRPr="004162BE">
              <w:rPr>
                <w:bCs/>
                <w:color w:val="000000"/>
                <w:sz w:val="20"/>
                <w:szCs w:val="20"/>
              </w:rPr>
              <w:t xml:space="preserve"> (</w:t>
            </w:r>
            <w:r>
              <w:rPr>
                <w:bCs/>
                <w:color w:val="000000"/>
                <w:sz w:val="20"/>
                <w:szCs w:val="20"/>
              </w:rPr>
              <w:t>FY2</w:t>
            </w:r>
            <w:r w:rsidR="00C958F0">
              <w:rPr>
                <w:bCs/>
                <w:color w:val="000000"/>
                <w:sz w:val="20"/>
                <w:szCs w:val="20"/>
              </w:rPr>
              <w:t>5e</w:t>
            </w:r>
            <w:r w:rsidRPr="004162BE">
              <w:rPr>
                <w:bCs/>
                <w:color w:val="000000"/>
                <w:sz w:val="20"/>
                <w:szCs w:val="20"/>
              </w:rPr>
              <w:t>)</w:t>
            </w:r>
          </w:p>
        </w:tc>
        <w:tc>
          <w:tcPr>
            <w:tcW w:w="2722" w:type="dxa"/>
            <w:tcBorders>
              <w:left w:val="nil"/>
              <w:right w:val="nil"/>
            </w:tcBorders>
            <w:shd w:val="clear" w:color="auto" w:fill="BFBFBF"/>
            <w:noWrap/>
            <w:hideMark/>
          </w:tcPr>
          <w:p w:rsidR="006C739A" w:rsidRPr="004162BE" w:rsidRDefault="00C958F0" w:rsidP="008756B1">
            <w:pPr>
              <w:spacing w:after="0" w:line="240" w:lineRule="auto"/>
              <w:jc w:val="right"/>
              <w:rPr>
                <w:color w:val="000000"/>
                <w:sz w:val="20"/>
                <w:szCs w:val="20"/>
              </w:rPr>
            </w:pPr>
            <w:r>
              <w:rPr>
                <w:color w:val="000000"/>
                <w:sz w:val="20"/>
                <w:szCs w:val="20"/>
              </w:rPr>
              <w:t>INR</w:t>
            </w:r>
            <w:r w:rsidR="005964ED">
              <w:rPr>
                <w:color w:val="000000"/>
                <w:sz w:val="20"/>
                <w:szCs w:val="20"/>
              </w:rPr>
              <w:t>11</w:t>
            </w:r>
          </w:p>
        </w:tc>
      </w:tr>
      <w:tr w:rsidR="006C739A" w:rsidRPr="004162BE" w:rsidTr="006C739A">
        <w:trPr>
          <w:trHeight w:val="316"/>
        </w:trPr>
        <w:tc>
          <w:tcPr>
            <w:tcW w:w="2287" w:type="dxa"/>
            <w:tcBorders>
              <w:left w:val="nil"/>
              <w:right w:val="nil"/>
            </w:tcBorders>
            <w:shd w:val="clear" w:color="auto" w:fill="D9D9D9"/>
            <w:noWrap/>
            <w:hideMark/>
          </w:tcPr>
          <w:p w:rsidR="006C739A" w:rsidRPr="004162BE" w:rsidRDefault="006C739A" w:rsidP="00C958F0">
            <w:pPr>
              <w:spacing w:after="0" w:line="240" w:lineRule="auto"/>
              <w:jc w:val="both"/>
              <w:rPr>
                <w:bCs/>
                <w:color w:val="000000"/>
                <w:sz w:val="20"/>
                <w:szCs w:val="20"/>
              </w:rPr>
            </w:pPr>
            <w:r>
              <w:rPr>
                <w:bCs/>
                <w:color w:val="000000"/>
                <w:sz w:val="20"/>
                <w:szCs w:val="20"/>
              </w:rPr>
              <w:t>P/E</w:t>
            </w:r>
            <w:r w:rsidRPr="004162BE">
              <w:rPr>
                <w:bCs/>
                <w:color w:val="000000"/>
                <w:sz w:val="20"/>
                <w:szCs w:val="20"/>
              </w:rPr>
              <w:t xml:space="preserve"> (x)</w:t>
            </w:r>
            <w:r>
              <w:rPr>
                <w:bCs/>
                <w:color w:val="000000"/>
                <w:sz w:val="20"/>
                <w:szCs w:val="20"/>
              </w:rPr>
              <w:t xml:space="preserve"> (FY2</w:t>
            </w:r>
            <w:r w:rsidR="00C958F0">
              <w:rPr>
                <w:bCs/>
                <w:color w:val="000000"/>
                <w:sz w:val="20"/>
                <w:szCs w:val="20"/>
              </w:rPr>
              <w:t>5e</w:t>
            </w:r>
            <w:r>
              <w:rPr>
                <w:bCs/>
                <w:color w:val="000000"/>
                <w:sz w:val="20"/>
                <w:szCs w:val="20"/>
              </w:rPr>
              <w:t>)</w:t>
            </w:r>
          </w:p>
        </w:tc>
        <w:tc>
          <w:tcPr>
            <w:tcW w:w="2722" w:type="dxa"/>
            <w:tcBorders>
              <w:left w:val="nil"/>
              <w:right w:val="nil"/>
            </w:tcBorders>
            <w:shd w:val="clear" w:color="auto" w:fill="D9D9D9"/>
            <w:noWrap/>
            <w:hideMark/>
          </w:tcPr>
          <w:p w:rsidR="006C739A" w:rsidRPr="004162BE" w:rsidRDefault="005964ED" w:rsidP="00C958F0">
            <w:pPr>
              <w:spacing w:after="0" w:line="240" w:lineRule="auto"/>
              <w:jc w:val="right"/>
              <w:rPr>
                <w:color w:val="000000"/>
                <w:sz w:val="20"/>
                <w:szCs w:val="20"/>
              </w:rPr>
            </w:pPr>
            <w:r>
              <w:rPr>
                <w:color w:val="000000"/>
                <w:sz w:val="20"/>
                <w:szCs w:val="20"/>
              </w:rPr>
              <w:t>13.3</w:t>
            </w:r>
          </w:p>
        </w:tc>
      </w:tr>
    </w:tbl>
    <w:p w:rsidR="00AA6757" w:rsidRPr="004162BE" w:rsidRDefault="00847D48" w:rsidP="00AA6757">
      <w:pPr>
        <w:jc w:val="both"/>
        <w:rPr>
          <w:b/>
          <w:sz w:val="20"/>
          <w:szCs w:val="20"/>
        </w:rPr>
      </w:pPr>
      <w:r w:rsidRPr="00153738">
        <w:rPr>
          <w:noProof/>
          <w:sz w:val="20"/>
          <w:szCs w:val="20"/>
        </w:rPr>
        <w:pict>
          <v:shape id="Text Box 4" o:spid="_x0000_s1029" type="#_x0000_t202" style="position:absolute;left:0;text-align:left;margin-left:9.1pt;margin-top:146.35pt;width:257.9pt;height:21.45pt;z-index:25165772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" fillcolor="#f79646" strokecolor="#f79646">
            <v:textbox>
              <w:txbxContent>
                <w:p w:rsidR="00E33B26" w:rsidRDefault="00E33B26" w:rsidP="00AA6757">
                  <w:pPr>
                    <w:rPr>
                      <w:b/>
                      <w:sz w:val="20"/>
                      <w:szCs w:val="20"/>
                    </w:rPr>
                  </w:pPr>
                  <w:r w:rsidRPr="00F53A64">
                    <w:rPr>
                      <w:b/>
                      <w:sz w:val="20"/>
                      <w:szCs w:val="20"/>
                    </w:rPr>
                    <w:t xml:space="preserve">Shareholding </w:t>
                  </w:r>
                  <w:r>
                    <w:rPr>
                      <w:b/>
                      <w:sz w:val="20"/>
                      <w:szCs w:val="20"/>
                    </w:rPr>
                    <w:t>P</w:t>
                  </w:r>
                  <w:r w:rsidRPr="00F53A64">
                    <w:rPr>
                      <w:b/>
                      <w:sz w:val="20"/>
                      <w:szCs w:val="20"/>
                    </w:rPr>
                    <w:t>at</w:t>
                  </w:r>
                  <w:r>
                    <w:rPr>
                      <w:b/>
                      <w:sz w:val="20"/>
                      <w:szCs w:val="20"/>
                    </w:rPr>
                    <w:t>t</w:t>
                  </w:r>
                  <w:r w:rsidRPr="00F53A64">
                    <w:rPr>
                      <w:b/>
                      <w:sz w:val="20"/>
                      <w:szCs w:val="20"/>
                    </w:rPr>
                    <w:t>ern</w:t>
                  </w:r>
                  <w:r>
                    <w:rPr>
                      <w:b/>
                      <w:sz w:val="20"/>
                      <w:szCs w:val="20"/>
                    </w:rPr>
                    <w:t xml:space="preserve"> % (</w:t>
                  </w:r>
                  <w:r w:rsidR="002946F1">
                    <w:rPr>
                      <w:b/>
                      <w:sz w:val="20"/>
                      <w:szCs w:val="20"/>
                    </w:rPr>
                    <w:t>March</w:t>
                  </w:r>
                  <w:r>
                    <w:rPr>
                      <w:b/>
                      <w:sz w:val="20"/>
                      <w:szCs w:val="20"/>
                    </w:rPr>
                    <w:t xml:space="preserve"> ’</w:t>
                  </w:r>
                  <w:r w:rsidR="00024474">
                    <w:rPr>
                      <w:b/>
                      <w:sz w:val="20"/>
                      <w:szCs w:val="20"/>
                    </w:rPr>
                    <w:t>2</w:t>
                  </w:r>
                  <w:r w:rsidR="002946F1">
                    <w:rPr>
                      <w:b/>
                      <w:sz w:val="20"/>
                      <w:szCs w:val="20"/>
                    </w:rPr>
                    <w:t>3</w:t>
                  </w:r>
                  <w:bookmarkStart w:id="0" w:name="_GoBack"/>
                  <w:bookmarkEnd w:id="0"/>
                  <w:r>
                    <w:rPr>
                      <w:b/>
                      <w:sz w:val="20"/>
                      <w:szCs w:val="20"/>
                    </w:rPr>
                    <w:t>)</w:t>
                  </w:r>
                </w:p>
                <w:p w:rsidR="00E33B26" w:rsidRPr="00F53A64" w:rsidRDefault="00E33B26" w:rsidP="00AA6757">
                  <w:pPr>
                    <w:rPr>
                      <w:b/>
                      <w:sz w:val="20"/>
                      <w:szCs w:val="20"/>
                    </w:rPr>
                  </w:pPr>
                </w:p>
              </w:txbxContent>
            </v:textbox>
            <w10:wrap anchorx="margin"/>
          </v:shape>
        </w:pict>
      </w:r>
    </w:p>
    <w:p w:rsidR="00E73305" w:rsidRPr="00773B46" w:rsidRDefault="00773B46" w:rsidP="00773B46">
      <w:pPr>
        <w:ind w:left="142" w:right="65"/>
        <w:rPr>
          <w:noProof/>
        </w:rPr>
      </w:pPr>
      <w:r>
        <w:rPr>
          <w:noProof/>
        </w:rPr>
        <w:drawing>
          <wp:inline distT="0" distB="0" distL="0" distR="0">
            <wp:extent cx="3371850" cy="2810934"/>
            <wp:effectExtent l="19050" t="0" r="19050" b="8466"/>
            <wp:docPr id="121097008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A1DB47DD-F347-B49F-6A4A-360839F73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1E9E" w:rsidRDefault="00E71E9E" w:rsidP="00F14EE8">
      <w:pPr>
        <w:spacing w:after="0"/>
        <w:jc w:val="both"/>
        <w:rPr>
          <w:rFonts w:cs="Calibri"/>
          <w:b/>
          <w:color w:val="000000"/>
          <w:sz w:val="24"/>
          <w:szCs w:val="24"/>
          <w:u w:val="single"/>
          <w:lang w:val="en-IN" w:eastAsia="en-IN"/>
        </w:rPr>
      </w:pPr>
    </w:p>
    <w:p w:rsidR="00E71E9E" w:rsidRDefault="00E71E9E" w:rsidP="00F14EE8">
      <w:pPr>
        <w:spacing w:after="0"/>
        <w:jc w:val="both"/>
        <w:rPr>
          <w:rFonts w:cs="Calibri"/>
          <w:b/>
          <w:color w:val="000000"/>
          <w:sz w:val="24"/>
          <w:szCs w:val="24"/>
          <w:u w:val="single"/>
          <w:lang w:val="en-IN" w:eastAsia="en-IN"/>
        </w:rPr>
      </w:pPr>
    </w:p>
    <w:p w:rsidR="00E71E9E" w:rsidRDefault="00E71E9E" w:rsidP="00E71E9E">
      <w:pPr>
        <w:spacing w:after="0"/>
        <w:jc w:val="both"/>
        <w:rPr>
          <w:rFonts w:cs="Calibri"/>
          <w:b/>
          <w:color w:val="000000"/>
          <w:sz w:val="24"/>
          <w:szCs w:val="24"/>
          <w:u w:val="single"/>
          <w:lang w:val="en-IN" w:eastAsia="en-IN"/>
        </w:rPr>
      </w:pPr>
      <w:r>
        <w:rPr>
          <w:rFonts w:cs="Calibri"/>
          <w:b/>
          <w:color w:val="000000"/>
          <w:sz w:val="24"/>
          <w:szCs w:val="24"/>
          <w:u w:val="single"/>
          <w:lang w:val="en-IN" w:eastAsia="en-IN"/>
        </w:rPr>
        <w:t>Company Overview</w:t>
      </w:r>
    </w:p>
    <w:p w:rsidR="00E71E9E" w:rsidRPr="00117CD5" w:rsidRDefault="00E71E9E" w:rsidP="00F14EE8">
      <w:pPr>
        <w:spacing w:after="0"/>
        <w:jc w:val="both"/>
        <w:rPr>
          <w:rFonts w:cs="Calibri"/>
          <w:b/>
          <w:color w:val="000000"/>
          <w:sz w:val="24"/>
          <w:szCs w:val="24"/>
          <w:u w:val="single"/>
          <w:lang w:val="en-IN" w:eastAsia="en-IN"/>
        </w:rPr>
      </w:pPr>
    </w:p>
    <w:p w:rsidR="00C958F0" w:rsidRPr="00E71E9E" w:rsidRDefault="005964ED" w:rsidP="00A63829">
      <w:pPr>
        <w:spacing w:after="0"/>
        <w:jc w:val="both"/>
        <w:rPr>
          <w:sz w:val="18"/>
          <w:szCs w:val="18"/>
        </w:rPr>
      </w:pPr>
      <w:r w:rsidRPr="00E71E9E">
        <w:rPr>
          <w:sz w:val="16"/>
          <w:szCs w:val="16"/>
        </w:rPr>
        <w:t>Sterlite Technologies is one of the largest Optical Fibre (OF) and Optical Fibre Cables (OFC) manufacturers in India. It's one of the leading integrators of digital networks providing All-in 5G solutions. The product portfolio comprises of OF, OFC, Optical interconnect products, Global services, and Digital &amp; Technology solutions. The company has 10 global manufacturing facilities which possess 50mn FKm OF capacity and 42mn FKM OFC capacity. It has 4 innovation centres and 650 patents across glass science, precision manufacturing, etc. The company has strong clients across the globe and exports to more than 100 countries.</w:t>
      </w:r>
    </w:p>
    <w:p w:rsidR="00C958F0" w:rsidRDefault="00C958F0" w:rsidP="00A63829">
      <w:pPr>
        <w:spacing w:after="0"/>
        <w:jc w:val="both"/>
        <w:rPr>
          <w:sz w:val="24"/>
          <w:szCs w:val="24"/>
        </w:rPr>
      </w:pPr>
    </w:p>
    <w:p w:rsidR="00C958F0" w:rsidRDefault="00C958F0" w:rsidP="00A63829">
      <w:pPr>
        <w:spacing w:after="0"/>
        <w:jc w:val="both"/>
        <w:rPr>
          <w:sz w:val="24"/>
          <w:szCs w:val="24"/>
        </w:rPr>
      </w:pPr>
    </w:p>
    <w:p w:rsidR="00C958F0" w:rsidRPr="00E71E9E" w:rsidRDefault="00C958F0" w:rsidP="00A63829">
      <w:pPr>
        <w:spacing w:after="0"/>
        <w:jc w:val="both"/>
        <w:rPr>
          <w:sz w:val="24"/>
          <w:szCs w:val="24"/>
        </w:rPr>
      </w:pPr>
    </w:p>
    <w:p w:rsidR="00C958F0" w:rsidRPr="00E71E9E" w:rsidRDefault="00C958F0" w:rsidP="00A63829">
      <w:pPr>
        <w:spacing w:after="0"/>
        <w:jc w:val="both"/>
        <w:rPr>
          <w:sz w:val="24"/>
          <w:szCs w:val="24"/>
        </w:rPr>
      </w:pPr>
    </w:p>
    <w:p w:rsidR="00C958F0" w:rsidRPr="00E71E9E" w:rsidRDefault="00153738" w:rsidP="00A63829">
      <w:pPr>
        <w:spacing w:after="0"/>
        <w:jc w:val="both"/>
        <w:rPr>
          <w:sz w:val="24"/>
          <w:szCs w:val="24"/>
        </w:rPr>
      </w:pPr>
      <w:r w:rsidRPr="00153738">
        <w:rPr>
          <w:b/>
          <w:noProof/>
          <w:sz w:val="20"/>
          <w:szCs w:val="20"/>
        </w:rPr>
        <w:pict>
          <v:group id="Group 1" o:spid="_x0000_s1030" style="position:absolute;left:0;text-align:left;margin-left:61.5pt;margin-top:-17.1pt;width:162pt;height:33.75pt;z-index:251678208;mso-width-relative:margin;mso-height-relative:margin" coordsize="22383,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1" type="#_x0000_t75" style="position:absolute;width:22383;height:6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">
              <v:imagedata r:id="rId10" o:title=""/>
            </v:shape>
            <v:shape id="Text Box 11" o:spid="_x0000_s1032" type="#_x0000_t202" style="position:absolute;left:3731;top:666;width:17050;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FD6EB3" w:rsidRPr="00965826" w:rsidRDefault="00FD6EB3" w:rsidP="00FD6EB3">
                    <w:pPr>
                      <w:jc w:val="center"/>
                      <w:rPr>
                        <w:b/>
                        <w:color w:val="FFFFFF"/>
                        <w:sz w:val="32"/>
                        <w:szCs w:val="32"/>
                      </w:rPr>
                    </w:pPr>
                    <w:r w:rsidRPr="00E71E9E">
                      <w:rPr>
                        <w:b/>
                        <w:color w:val="FFFFFF"/>
                        <w:sz w:val="20"/>
                        <w:szCs w:val="20"/>
                      </w:rPr>
                      <w:t>FundamentalPick</w:t>
                    </w:r>
                  </w:p>
                </w:txbxContent>
              </v:textbox>
            </v:shape>
          </v:group>
        </w:pict>
      </w:r>
    </w:p>
    <w:p w:rsidR="00095C96" w:rsidRPr="00E71E9E" w:rsidRDefault="00095C96" w:rsidP="00A63829">
      <w:pPr>
        <w:spacing w:after="0"/>
        <w:jc w:val="both"/>
        <w:rPr>
          <w:sz w:val="24"/>
          <w:szCs w:val="24"/>
        </w:rPr>
      </w:pPr>
    </w:p>
    <w:p w:rsidR="00024474" w:rsidRPr="00E71E9E" w:rsidRDefault="00024474" w:rsidP="00E73305">
      <w:pPr>
        <w:spacing w:after="0"/>
        <w:jc w:val="both"/>
        <w:rPr>
          <w:b/>
          <w:bCs/>
          <w:sz w:val="24"/>
          <w:szCs w:val="24"/>
          <w:u w:val="single"/>
        </w:rPr>
      </w:pPr>
    </w:p>
    <w:p w:rsidR="00EF3E6B" w:rsidRPr="00E71E9E" w:rsidRDefault="00EF3E6B" w:rsidP="00024474">
      <w:pPr>
        <w:spacing w:after="0"/>
        <w:rPr>
          <w:b/>
          <w:bCs/>
          <w:sz w:val="16"/>
          <w:szCs w:val="16"/>
          <w:u w:val="single"/>
        </w:rPr>
      </w:pPr>
      <w:r w:rsidRPr="00E71E9E">
        <w:rPr>
          <w:b/>
          <w:bCs/>
          <w:sz w:val="16"/>
          <w:szCs w:val="16"/>
          <w:u w:val="single"/>
        </w:rPr>
        <w:t>Investment Rationale</w:t>
      </w:r>
    </w:p>
    <w:p w:rsidR="00E02961" w:rsidRDefault="00E02961" w:rsidP="00CA77A2">
      <w:pPr>
        <w:spacing w:after="0"/>
        <w:jc w:val="both"/>
        <w:rPr>
          <w:sz w:val="16"/>
          <w:szCs w:val="16"/>
        </w:rPr>
      </w:pPr>
      <w:r w:rsidRPr="00E71E9E">
        <w:rPr>
          <w:b/>
          <w:bCs/>
          <w:sz w:val="16"/>
          <w:szCs w:val="16"/>
        </w:rPr>
        <w:t>Focused on global leadership through market share:</w:t>
      </w:r>
      <w:r w:rsidRPr="00E71E9E">
        <w:rPr>
          <w:sz w:val="16"/>
          <w:szCs w:val="16"/>
        </w:rPr>
        <w:t xml:space="preserve"> Sterlite Technologies global ex-China OFC market share stood at 12% in FY23 vs 5% in FY20. The market share doubled in 2 years and continuously gained market share through long-term contracts in focus markets. The American market share increased from 1% to 14% over the period of FY20 to FY23. The Europe market share increased from 11% to 20% over the period of FY20 to FY23. The company continues to focus on North America and Europe markets. In India, STL has reported a strong order book with profitable projects in strategic segments. </w:t>
      </w:r>
    </w:p>
    <w:p w:rsidR="00E71E9E" w:rsidRPr="00E71E9E" w:rsidRDefault="00E71E9E" w:rsidP="00CA77A2">
      <w:pPr>
        <w:spacing w:after="0"/>
        <w:jc w:val="both"/>
        <w:rPr>
          <w:sz w:val="16"/>
          <w:szCs w:val="16"/>
        </w:rPr>
      </w:pPr>
    </w:p>
    <w:p w:rsidR="00E02961" w:rsidRDefault="00E02961" w:rsidP="00CA77A2">
      <w:pPr>
        <w:spacing w:after="0"/>
        <w:jc w:val="both"/>
        <w:rPr>
          <w:sz w:val="16"/>
          <w:szCs w:val="16"/>
        </w:rPr>
      </w:pPr>
      <w:r w:rsidRPr="00E71E9E">
        <w:rPr>
          <w:b/>
          <w:bCs/>
          <w:sz w:val="16"/>
          <w:szCs w:val="16"/>
        </w:rPr>
        <w:t>Capacity expansion will drive business growth:</w:t>
      </w:r>
      <w:r w:rsidRPr="00E71E9E">
        <w:rPr>
          <w:sz w:val="16"/>
          <w:szCs w:val="16"/>
        </w:rPr>
        <w:t xml:space="preserve"> Sterlite Technologies has incurred a Capex of INR 4,000mn in FY23 and the Capex is expected around INR 3,500mn to INR 4,000mn in FY24E. Optical fibre cable (OFC) capacity stood at 33mn fkm/annum and is expected to reach 42mn fkm/ annum in H1FY24E. Optical fibre capacity stood at 50mn fkm/annum in FY23, around 42mn fkm is expected to be captive to make OFC and the remaining optical fibre will be sold to selected customers.</w:t>
      </w:r>
    </w:p>
    <w:p w:rsidR="00E71E9E" w:rsidRPr="00E71E9E" w:rsidRDefault="00E71E9E" w:rsidP="00CA77A2">
      <w:pPr>
        <w:spacing w:after="0"/>
        <w:jc w:val="both"/>
        <w:rPr>
          <w:sz w:val="16"/>
          <w:szCs w:val="16"/>
        </w:rPr>
      </w:pPr>
    </w:p>
    <w:p w:rsidR="00E02961" w:rsidRDefault="00E02961" w:rsidP="00CA77A2">
      <w:pPr>
        <w:spacing w:after="0"/>
        <w:jc w:val="both"/>
        <w:rPr>
          <w:sz w:val="16"/>
          <w:szCs w:val="16"/>
        </w:rPr>
      </w:pPr>
      <w:r w:rsidRPr="00E71E9E">
        <w:rPr>
          <w:b/>
          <w:bCs/>
          <w:sz w:val="16"/>
          <w:szCs w:val="16"/>
        </w:rPr>
        <w:t>Increase in Interconnect attach rate leads to incremental business:</w:t>
      </w:r>
      <w:r w:rsidRPr="00E71E9E">
        <w:rPr>
          <w:sz w:val="16"/>
          <w:szCs w:val="16"/>
        </w:rPr>
        <w:t xml:space="preserve"> The optical interconnect attach rate increased from 3% to 10% over the period of FY21 to FY23. Post buying OFC, the customers prefer Sterlite optical Interconnect cables to link devices optically, especially in high-performance systems to establish long-distance network links. The increase in interconnect attach rate leads to an incremental business going forward. The Opto-Bolt Terminal and Drop cable is expected to witness traction going forward.</w:t>
      </w:r>
    </w:p>
    <w:p w:rsidR="00E71E9E" w:rsidRPr="00E71E9E" w:rsidRDefault="00E71E9E" w:rsidP="00CA77A2">
      <w:pPr>
        <w:spacing w:after="0"/>
        <w:jc w:val="both"/>
        <w:rPr>
          <w:sz w:val="16"/>
          <w:szCs w:val="16"/>
        </w:rPr>
      </w:pPr>
    </w:p>
    <w:p w:rsidR="00E02961" w:rsidRDefault="00E02961" w:rsidP="00CA77A2">
      <w:pPr>
        <w:spacing w:after="0"/>
        <w:jc w:val="both"/>
        <w:rPr>
          <w:sz w:val="16"/>
          <w:szCs w:val="16"/>
        </w:rPr>
      </w:pPr>
      <w:r w:rsidRPr="00E71E9E">
        <w:rPr>
          <w:b/>
          <w:bCs/>
          <w:sz w:val="16"/>
          <w:szCs w:val="16"/>
        </w:rPr>
        <w:t>Strong order book leads to better business visibility:</w:t>
      </w:r>
      <w:r w:rsidRPr="00E71E9E">
        <w:rPr>
          <w:sz w:val="16"/>
          <w:szCs w:val="16"/>
        </w:rPr>
        <w:t xml:space="preserve"> The order book stood at INR 110.52bn as of FY23. The order book of INR 38.97bn is executable in FY24E and the remaining INR 71.55bn is executable in FY25E and beyond. The company has maintained above INR 100bn order book over the past few quarters and getting multi-million and multi-year contracts from customers. The major order book comes from North America and Europe regions. </w:t>
      </w:r>
    </w:p>
    <w:p w:rsidR="00E71E9E" w:rsidRPr="00E71E9E" w:rsidRDefault="00E71E9E" w:rsidP="00CA77A2">
      <w:pPr>
        <w:spacing w:after="0"/>
        <w:jc w:val="both"/>
        <w:rPr>
          <w:sz w:val="16"/>
          <w:szCs w:val="16"/>
        </w:rPr>
      </w:pPr>
    </w:p>
    <w:p w:rsidR="00E02961" w:rsidRDefault="00E02961" w:rsidP="00CA77A2">
      <w:pPr>
        <w:spacing w:after="0"/>
        <w:jc w:val="both"/>
        <w:rPr>
          <w:sz w:val="16"/>
          <w:szCs w:val="16"/>
        </w:rPr>
      </w:pPr>
      <w:r w:rsidRPr="00E71E9E">
        <w:rPr>
          <w:b/>
          <w:bCs/>
          <w:sz w:val="16"/>
          <w:szCs w:val="16"/>
        </w:rPr>
        <w:t>Divestment of Non-Core assets leads to turnaround for global services business:</w:t>
      </w:r>
      <w:r w:rsidRPr="00E71E9E">
        <w:rPr>
          <w:sz w:val="16"/>
          <w:szCs w:val="16"/>
        </w:rPr>
        <w:t xml:space="preserve"> Sterlite Technologies has divested its non-core businesses like Elitecore, IDS, Clearcomm etc. The company has focused on the divestment of Non-core assets and remains focused on core business. STL has set a target to be profitable in the services business in the UK with an execution ramp-up by FY24E. The company is building an order book on a selective basis and targeting profitable projects in strategic segments.</w:t>
      </w:r>
    </w:p>
    <w:p w:rsidR="00E71E9E" w:rsidRPr="00E71E9E" w:rsidRDefault="00E71E9E" w:rsidP="00CA77A2">
      <w:pPr>
        <w:spacing w:after="0"/>
        <w:jc w:val="both"/>
        <w:rPr>
          <w:sz w:val="16"/>
          <w:szCs w:val="16"/>
        </w:rPr>
      </w:pPr>
    </w:p>
    <w:p w:rsidR="00E71E9E" w:rsidRDefault="00E02961" w:rsidP="00CA77A2">
      <w:pPr>
        <w:spacing w:after="0"/>
        <w:jc w:val="both"/>
        <w:rPr>
          <w:sz w:val="18"/>
          <w:szCs w:val="18"/>
        </w:rPr>
      </w:pPr>
      <w:r w:rsidRPr="00E71E9E">
        <w:rPr>
          <w:b/>
          <w:bCs/>
          <w:sz w:val="16"/>
          <w:szCs w:val="16"/>
        </w:rPr>
        <w:t xml:space="preserve">Demerger of the global services business will unlock the potential: </w:t>
      </w:r>
      <w:r w:rsidRPr="00E71E9E">
        <w:rPr>
          <w:sz w:val="16"/>
          <w:szCs w:val="16"/>
        </w:rPr>
        <w:t>The demerger will unlock the potential for optical networking digital &amp; technology business and global services</w:t>
      </w:r>
      <w:r w:rsidRPr="00E71E9E">
        <w:rPr>
          <w:sz w:val="20"/>
          <w:szCs w:val="20"/>
        </w:rPr>
        <w:t xml:space="preserve"> business.</w:t>
      </w:r>
      <w:r w:rsidRPr="00E71E9E">
        <w:rPr>
          <w:sz w:val="16"/>
          <w:szCs w:val="16"/>
        </w:rPr>
        <w:t xml:space="preserve"> The demerger of the global services business will be named STL Networks Ltd. Post demerger is expected to be listed publically. The demerger is expected to complete in the next 9-12 months</w:t>
      </w:r>
      <w:r w:rsidRPr="00E71E9E">
        <w:rPr>
          <w:sz w:val="18"/>
          <w:szCs w:val="18"/>
        </w:rPr>
        <w:t>.</w:t>
      </w:r>
    </w:p>
    <w:p w:rsidR="00E71E9E" w:rsidRPr="00E71E9E" w:rsidRDefault="00E71E9E" w:rsidP="00CA77A2">
      <w:pPr>
        <w:spacing w:after="0"/>
        <w:jc w:val="both"/>
        <w:rPr>
          <w:sz w:val="18"/>
          <w:szCs w:val="18"/>
        </w:rPr>
      </w:pPr>
    </w:p>
    <w:p w:rsidR="00FE5539" w:rsidRPr="00E71E9E" w:rsidRDefault="00FE5539" w:rsidP="00CA77A2">
      <w:pPr>
        <w:spacing w:after="0"/>
        <w:jc w:val="both"/>
        <w:rPr>
          <w:rFonts w:cs="Calibri"/>
          <w:b/>
          <w:color w:val="000000"/>
          <w:sz w:val="16"/>
          <w:szCs w:val="16"/>
          <w:lang w:val="en-IN" w:eastAsia="en-IN"/>
        </w:rPr>
      </w:pPr>
      <w:r w:rsidRPr="00E71E9E">
        <w:rPr>
          <w:rFonts w:cs="Calibri"/>
          <w:b/>
          <w:color w:val="000000"/>
          <w:sz w:val="16"/>
          <w:szCs w:val="16"/>
          <w:lang w:val="en-IN" w:eastAsia="en-IN"/>
        </w:rPr>
        <w:t>Outlook &amp; Valuation:</w:t>
      </w:r>
    </w:p>
    <w:p w:rsidR="00E150BF" w:rsidRPr="00E71E9E" w:rsidRDefault="00E02961" w:rsidP="00D676DE">
      <w:pPr>
        <w:spacing w:after="0"/>
        <w:jc w:val="both"/>
        <w:rPr>
          <w:rFonts w:cs="Calibri"/>
          <w:b/>
          <w:bCs/>
          <w:color w:val="000000"/>
          <w:sz w:val="18"/>
          <w:szCs w:val="18"/>
          <w:lang w:eastAsia="en-IN"/>
        </w:rPr>
      </w:pPr>
      <w:r w:rsidRPr="00E71E9E">
        <w:rPr>
          <w:b/>
          <w:bCs/>
          <w:sz w:val="16"/>
          <w:szCs w:val="16"/>
        </w:rPr>
        <w:t xml:space="preserve">Sterlite Technologies has a strong order book (~1.6x of FY23 revenue) and China mobile tender would lead to further opportunities. The optical networking business is continuing to grow with 20% margins and increasing in interconnect attach rate would improve the margins further. UK services business is expected to be profitable in FY24E and digital business is expected to be breakeven in Q3FY24E-Q4FY24E. We believe telecom capex for 5G and the upcoming 6G would provide business visibility. Revenue is expected to grow at a CAGR 10% over the period of FY23-FY25E, and RoE is expected to improve from 11.4% (FY23) to 17.7% in FY25E. We have used a DCF Model to value Sterlite Technologies, it has healthy and consistent cash flow generation over </w:t>
      </w:r>
      <w:r w:rsidRPr="00E71E9E">
        <w:rPr>
          <w:b/>
          <w:bCs/>
          <w:sz w:val="16"/>
          <w:szCs w:val="16"/>
        </w:rPr>
        <w:lastRenderedPageBreak/>
        <w:t>the forecasted period. We initiate coverage with a “BUY” rating at a Target Price of INR 202 per share based on DCF; an upside of 38.4%.</w:t>
      </w:r>
    </w:p>
    <w:sectPr w:rsidR="00E150BF" w:rsidRPr="00E71E9E" w:rsidSect="002B1488">
      <w:pgSz w:w="12240" w:h="15840"/>
      <w:pgMar w:top="567" w:right="540" w:bottom="630" w:left="900" w:header="720" w:footer="720" w:gutter="0"/>
      <w:cols w:num="2" w:space="1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CE3" w:rsidRDefault="00510CE3" w:rsidP="00543DF9">
      <w:pPr>
        <w:spacing w:after="0" w:line="240" w:lineRule="auto"/>
      </w:pPr>
      <w:r>
        <w:separator/>
      </w:r>
    </w:p>
  </w:endnote>
  <w:endnote w:type="continuationSeparator" w:id="1">
    <w:p w:rsidR="00510CE3" w:rsidRDefault="00510CE3" w:rsidP="00543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CE3" w:rsidRDefault="00510CE3" w:rsidP="00543DF9">
      <w:pPr>
        <w:spacing w:after="0" w:line="240" w:lineRule="auto"/>
      </w:pPr>
      <w:r>
        <w:separator/>
      </w:r>
    </w:p>
  </w:footnote>
  <w:footnote w:type="continuationSeparator" w:id="1">
    <w:p w:rsidR="00510CE3" w:rsidRDefault="00510CE3" w:rsidP="00543D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25C90"/>
    <w:multiLevelType w:val="hybridMultilevel"/>
    <w:tmpl w:val="B24467AC"/>
    <w:lvl w:ilvl="0" w:tplc="04209E96">
      <w:start w:val="1"/>
      <w:numFmt w:val="bullet"/>
      <w:lvlText w:val=""/>
      <w:lvlJc w:val="left"/>
      <w:pPr>
        <w:ind w:left="360" w:hanging="360"/>
      </w:pPr>
      <w:rPr>
        <w:rFonts w:ascii="Wingdings" w:hAnsi="Wingdings" w:hint="default"/>
        <w:b w:val="0"/>
        <w:i w:val="0"/>
        <w:color w:val="F79646"/>
        <w:sz w:val="12"/>
        <w:szCs w:val="12"/>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243C576F"/>
    <w:multiLevelType w:val="hybridMultilevel"/>
    <w:tmpl w:val="EADA43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D1651E2"/>
    <w:multiLevelType w:val="hybridMultilevel"/>
    <w:tmpl w:val="C958D5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9361DCD"/>
    <w:multiLevelType w:val="hybridMultilevel"/>
    <w:tmpl w:val="ED24FE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93E392B"/>
    <w:multiLevelType w:val="hybridMultilevel"/>
    <w:tmpl w:val="AA563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1406E77"/>
    <w:multiLevelType w:val="multilevel"/>
    <w:tmpl w:val="D180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43C0A"/>
    <w:multiLevelType w:val="hybridMultilevel"/>
    <w:tmpl w:val="A8A6824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4DDD5CC0"/>
    <w:multiLevelType w:val="hybridMultilevel"/>
    <w:tmpl w:val="17C4F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6941AD7"/>
    <w:multiLevelType w:val="multilevel"/>
    <w:tmpl w:val="D44E450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357B74"/>
    <w:multiLevelType w:val="hybridMultilevel"/>
    <w:tmpl w:val="DE40C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7C872C9"/>
    <w:multiLevelType w:val="hybridMultilevel"/>
    <w:tmpl w:val="AE2689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9"/>
  </w:num>
  <w:num w:numId="6">
    <w:abstractNumId w:val="3"/>
  </w:num>
  <w:num w:numId="7">
    <w:abstractNumId w:val="7"/>
  </w:num>
  <w:num w:numId="8">
    <w:abstractNumId w:val="4"/>
  </w:num>
  <w:num w:numId="9">
    <w:abstractNumId w:val="2"/>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3B80"/>
    <w:rsid w:val="00000EE6"/>
    <w:rsid w:val="00002DCD"/>
    <w:rsid w:val="000030B4"/>
    <w:rsid w:val="0000614D"/>
    <w:rsid w:val="0001181C"/>
    <w:rsid w:val="000125D0"/>
    <w:rsid w:val="00013F72"/>
    <w:rsid w:val="0001691E"/>
    <w:rsid w:val="000200DC"/>
    <w:rsid w:val="00020EC5"/>
    <w:rsid w:val="00024474"/>
    <w:rsid w:val="00024756"/>
    <w:rsid w:val="00030273"/>
    <w:rsid w:val="000321BD"/>
    <w:rsid w:val="00037655"/>
    <w:rsid w:val="00042A21"/>
    <w:rsid w:val="000440ED"/>
    <w:rsid w:val="00044477"/>
    <w:rsid w:val="00046B53"/>
    <w:rsid w:val="000501E4"/>
    <w:rsid w:val="000524CC"/>
    <w:rsid w:val="00053598"/>
    <w:rsid w:val="000546D1"/>
    <w:rsid w:val="0005489B"/>
    <w:rsid w:val="00056D3F"/>
    <w:rsid w:val="000608A2"/>
    <w:rsid w:val="00061377"/>
    <w:rsid w:val="000640A5"/>
    <w:rsid w:val="00064210"/>
    <w:rsid w:val="00064CB9"/>
    <w:rsid w:val="00064E8F"/>
    <w:rsid w:val="00073DBE"/>
    <w:rsid w:val="00074AD0"/>
    <w:rsid w:val="000772FA"/>
    <w:rsid w:val="000800A5"/>
    <w:rsid w:val="00083E2E"/>
    <w:rsid w:val="00084CBC"/>
    <w:rsid w:val="00085284"/>
    <w:rsid w:val="000907EB"/>
    <w:rsid w:val="00093C58"/>
    <w:rsid w:val="00095C96"/>
    <w:rsid w:val="000A0920"/>
    <w:rsid w:val="000A5166"/>
    <w:rsid w:val="000A5DF2"/>
    <w:rsid w:val="000B004B"/>
    <w:rsid w:val="000C0B7B"/>
    <w:rsid w:val="000C204C"/>
    <w:rsid w:val="000C3140"/>
    <w:rsid w:val="000C5658"/>
    <w:rsid w:val="000C69F5"/>
    <w:rsid w:val="000D1868"/>
    <w:rsid w:val="000D200B"/>
    <w:rsid w:val="000D22EE"/>
    <w:rsid w:val="000D4137"/>
    <w:rsid w:val="000D4447"/>
    <w:rsid w:val="000D4E12"/>
    <w:rsid w:val="000E04BB"/>
    <w:rsid w:val="000E18A9"/>
    <w:rsid w:val="000E241E"/>
    <w:rsid w:val="000E3165"/>
    <w:rsid w:val="000E7E26"/>
    <w:rsid w:val="000E7FA2"/>
    <w:rsid w:val="000F092C"/>
    <w:rsid w:val="000F31FD"/>
    <w:rsid w:val="000F36C3"/>
    <w:rsid w:val="000F421F"/>
    <w:rsid w:val="000F6462"/>
    <w:rsid w:val="000F7216"/>
    <w:rsid w:val="00100044"/>
    <w:rsid w:val="001060BF"/>
    <w:rsid w:val="00114793"/>
    <w:rsid w:val="00114EA6"/>
    <w:rsid w:val="001166F9"/>
    <w:rsid w:val="00117CD5"/>
    <w:rsid w:val="001206B2"/>
    <w:rsid w:val="00120B02"/>
    <w:rsid w:val="001248BB"/>
    <w:rsid w:val="001250C9"/>
    <w:rsid w:val="00125846"/>
    <w:rsid w:val="001258A1"/>
    <w:rsid w:val="001279DA"/>
    <w:rsid w:val="0013346C"/>
    <w:rsid w:val="00135106"/>
    <w:rsid w:val="00136065"/>
    <w:rsid w:val="0013685C"/>
    <w:rsid w:val="0013751E"/>
    <w:rsid w:val="00137D1E"/>
    <w:rsid w:val="00144BFD"/>
    <w:rsid w:val="001475A8"/>
    <w:rsid w:val="0015012B"/>
    <w:rsid w:val="00150D01"/>
    <w:rsid w:val="00151381"/>
    <w:rsid w:val="00153202"/>
    <w:rsid w:val="00153688"/>
    <w:rsid w:val="00153738"/>
    <w:rsid w:val="00153F8A"/>
    <w:rsid w:val="00156216"/>
    <w:rsid w:val="00156661"/>
    <w:rsid w:val="00157276"/>
    <w:rsid w:val="0016077F"/>
    <w:rsid w:val="00167B48"/>
    <w:rsid w:val="0017093E"/>
    <w:rsid w:val="00173C51"/>
    <w:rsid w:val="0017492B"/>
    <w:rsid w:val="00180B03"/>
    <w:rsid w:val="00180CB0"/>
    <w:rsid w:val="00182BD1"/>
    <w:rsid w:val="00186537"/>
    <w:rsid w:val="00191C49"/>
    <w:rsid w:val="001961E9"/>
    <w:rsid w:val="00196DD9"/>
    <w:rsid w:val="001A0D75"/>
    <w:rsid w:val="001A5C84"/>
    <w:rsid w:val="001A6048"/>
    <w:rsid w:val="001A6F27"/>
    <w:rsid w:val="001B0D83"/>
    <w:rsid w:val="001B1C58"/>
    <w:rsid w:val="001B2717"/>
    <w:rsid w:val="001B29ED"/>
    <w:rsid w:val="001B2F54"/>
    <w:rsid w:val="001B5D2F"/>
    <w:rsid w:val="001C2076"/>
    <w:rsid w:val="001C483C"/>
    <w:rsid w:val="001C6712"/>
    <w:rsid w:val="001C696F"/>
    <w:rsid w:val="001D3705"/>
    <w:rsid w:val="001D5B1A"/>
    <w:rsid w:val="001E08ED"/>
    <w:rsid w:val="001E1F20"/>
    <w:rsid w:val="001E2438"/>
    <w:rsid w:val="001E49B6"/>
    <w:rsid w:val="001E50E2"/>
    <w:rsid w:val="001F0C10"/>
    <w:rsid w:val="001F25F0"/>
    <w:rsid w:val="001F4453"/>
    <w:rsid w:val="001F7D21"/>
    <w:rsid w:val="0020552C"/>
    <w:rsid w:val="002076CC"/>
    <w:rsid w:val="00212272"/>
    <w:rsid w:val="00216FAF"/>
    <w:rsid w:val="00220B49"/>
    <w:rsid w:val="002250C6"/>
    <w:rsid w:val="002262FA"/>
    <w:rsid w:val="00227E05"/>
    <w:rsid w:val="00230CF6"/>
    <w:rsid w:val="00233778"/>
    <w:rsid w:val="002354B8"/>
    <w:rsid w:val="00236F53"/>
    <w:rsid w:val="002376A2"/>
    <w:rsid w:val="002402A4"/>
    <w:rsid w:val="00241BE7"/>
    <w:rsid w:val="0024330A"/>
    <w:rsid w:val="002445F4"/>
    <w:rsid w:val="0025098F"/>
    <w:rsid w:val="00251852"/>
    <w:rsid w:val="002639EE"/>
    <w:rsid w:val="002676B3"/>
    <w:rsid w:val="0027154D"/>
    <w:rsid w:val="00272813"/>
    <w:rsid w:val="0027399E"/>
    <w:rsid w:val="00274358"/>
    <w:rsid w:val="002751B1"/>
    <w:rsid w:val="002765D4"/>
    <w:rsid w:val="0027701F"/>
    <w:rsid w:val="00282A18"/>
    <w:rsid w:val="00283D4B"/>
    <w:rsid w:val="00284323"/>
    <w:rsid w:val="002861E9"/>
    <w:rsid w:val="002946F1"/>
    <w:rsid w:val="00294B97"/>
    <w:rsid w:val="00295E42"/>
    <w:rsid w:val="002971A7"/>
    <w:rsid w:val="002A3050"/>
    <w:rsid w:val="002A558D"/>
    <w:rsid w:val="002B1488"/>
    <w:rsid w:val="002B2037"/>
    <w:rsid w:val="002B2196"/>
    <w:rsid w:val="002B3E52"/>
    <w:rsid w:val="002B4548"/>
    <w:rsid w:val="002B6CB0"/>
    <w:rsid w:val="002B7BBB"/>
    <w:rsid w:val="002B7ECB"/>
    <w:rsid w:val="002C04CB"/>
    <w:rsid w:val="002C377C"/>
    <w:rsid w:val="002C5812"/>
    <w:rsid w:val="002C79E9"/>
    <w:rsid w:val="002C7A13"/>
    <w:rsid w:val="002D3DB1"/>
    <w:rsid w:val="002E03AE"/>
    <w:rsid w:val="002E0488"/>
    <w:rsid w:val="002E0CA0"/>
    <w:rsid w:val="002E27D4"/>
    <w:rsid w:val="002E694F"/>
    <w:rsid w:val="002E765A"/>
    <w:rsid w:val="002F10BF"/>
    <w:rsid w:val="002F13D0"/>
    <w:rsid w:val="002F157D"/>
    <w:rsid w:val="002F2220"/>
    <w:rsid w:val="002F238E"/>
    <w:rsid w:val="002F7C4B"/>
    <w:rsid w:val="00300C92"/>
    <w:rsid w:val="00300D75"/>
    <w:rsid w:val="00301ABE"/>
    <w:rsid w:val="00302F21"/>
    <w:rsid w:val="00305648"/>
    <w:rsid w:val="00310CFC"/>
    <w:rsid w:val="00313F32"/>
    <w:rsid w:val="003218E9"/>
    <w:rsid w:val="00324C47"/>
    <w:rsid w:val="00327D47"/>
    <w:rsid w:val="003307B1"/>
    <w:rsid w:val="00336428"/>
    <w:rsid w:val="00336DBE"/>
    <w:rsid w:val="003419AE"/>
    <w:rsid w:val="003450A6"/>
    <w:rsid w:val="00345125"/>
    <w:rsid w:val="00352418"/>
    <w:rsid w:val="00352558"/>
    <w:rsid w:val="00355E3B"/>
    <w:rsid w:val="00357F83"/>
    <w:rsid w:val="003620E0"/>
    <w:rsid w:val="00362C46"/>
    <w:rsid w:val="00364808"/>
    <w:rsid w:val="003708A5"/>
    <w:rsid w:val="00371D5F"/>
    <w:rsid w:val="00372F0D"/>
    <w:rsid w:val="003730AB"/>
    <w:rsid w:val="00373E8F"/>
    <w:rsid w:val="00374505"/>
    <w:rsid w:val="00375270"/>
    <w:rsid w:val="00375871"/>
    <w:rsid w:val="0038066F"/>
    <w:rsid w:val="00380BB2"/>
    <w:rsid w:val="00386F5E"/>
    <w:rsid w:val="00387DF5"/>
    <w:rsid w:val="00390068"/>
    <w:rsid w:val="0039026B"/>
    <w:rsid w:val="00394ADD"/>
    <w:rsid w:val="00395BDC"/>
    <w:rsid w:val="0039700A"/>
    <w:rsid w:val="0039700D"/>
    <w:rsid w:val="003A0FE4"/>
    <w:rsid w:val="003A4F9F"/>
    <w:rsid w:val="003A69C6"/>
    <w:rsid w:val="003B210E"/>
    <w:rsid w:val="003B7F83"/>
    <w:rsid w:val="003C04F0"/>
    <w:rsid w:val="003C0A78"/>
    <w:rsid w:val="003C2124"/>
    <w:rsid w:val="003C28D6"/>
    <w:rsid w:val="003C2D7F"/>
    <w:rsid w:val="003C452E"/>
    <w:rsid w:val="003C7654"/>
    <w:rsid w:val="003D01F2"/>
    <w:rsid w:val="003D0AE1"/>
    <w:rsid w:val="003D19EE"/>
    <w:rsid w:val="003D214C"/>
    <w:rsid w:val="003D33D4"/>
    <w:rsid w:val="003D48BD"/>
    <w:rsid w:val="003D4FF9"/>
    <w:rsid w:val="003E0B0E"/>
    <w:rsid w:val="003E2B79"/>
    <w:rsid w:val="003E30E4"/>
    <w:rsid w:val="003F0AED"/>
    <w:rsid w:val="003F6240"/>
    <w:rsid w:val="003F7DDF"/>
    <w:rsid w:val="00401E0E"/>
    <w:rsid w:val="004064A9"/>
    <w:rsid w:val="00406D8A"/>
    <w:rsid w:val="0040720A"/>
    <w:rsid w:val="004124BF"/>
    <w:rsid w:val="0041270A"/>
    <w:rsid w:val="0041431C"/>
    <w:rsid w:val="004162BE"/>
    <w:rsid w:val="00421576"/>
    <w:rsid w:val="00426683"/>
    <w:rsid w:val="00426B8F"/>
    <w:rsid w:val="00426BD5"/>
    <w:rsid w:val="004317D9"/>
    <w:rsid w:val="00431EE8"/>
    <w:rsid w:val="00435A0F"/>
    <w:rsid w:val="004360BA"/>
    <w:rsid w:val="00436FC6"/>
    <w:rsid w:val="0044044E"/>
    <w:rsid w:val="0045002F"/>
    <w:rsid w:val="00450317"/>
    <w:rsid w:val="004507CC"/>
    <w:rsid w:val="00450EB9"/>
    <w:rsid w:val="0045207B"/>
    <w:rsid w:val="0045559D"/>
    <w:rsid w:val="00455B17"/>
    <w:rsid w:val="0045671B"/>
    <w:rsid w:val="0045751C"/>
    <w:rsid w:val="0046318B"/>
    <w:rsid w:val="004641FF"/>
    <w:rsid w:val="00466592"/>
    <w:rsid w:val="00467F20"/>
    <w:rsid w:val="004707CE"/>
    <w:rsid w:val="00473804"/>
    <w:rsid w:val="00473B21"/>
    <w:rsid w:val="00481E96"/>
    <w:rsid w:val="00482A4D"/>
    <w:rsid w:val="004857CB"/>
    <w:rsid w:val="004909FF"/>
    <w:rsid w:val="004953A8"/>
    <w:rsid w:val="00495E11"/>
    <w:rsid w:val="004A0549"/>
    <w:rsid w:val="004A361E"/>
    <w:rsid w:val="004A46C2"/>
    <w:rsid w:val="004A5D4D"/>
    <w:rsid w:val="004A726C"/>
    <w:rsid w:val="004B1070"/>
    <w:rsid w:val="004B1D5A"/>
    <w:rsid w:val="004B1F62"/>
    <w:rsid w:val="004B3D72"/>
    <w:rsid w:val="004B3FDC"/>
    <w:rsid w:val="004B4EC1"/>
    <w:rsid w:val="004B5DA6"/>
    <w:rsid w:val="004B674C"/>
    <w:rsid w:val="004C24A4"/>
    <w:rsid w:val="004C40B8"/>
    <w:rsid w:val="004C443F"/>
    <w:rsid w:val="004C4ECA"/>
    <w:rsid w:val="004C54A1"/>
    <w:rsid w:val="004C5959"/>
    <w:rsid w:val="004C5DE3"/>
    <w:rsid w:val="004C7AA7"/>
    <w:rsid w:val="004D6E1A"/>
    <w:rsid w:val="004E03E4"/>
    <w:rsid w:val="004E0746"/>
    <w:rsid w:val="004E0B38"/>
    <w:rsid w:val="004E1F1E"/>
    <w:rsid w:val="004E54F2"/>
    <w:rsid w:val="004F1879"/>
    <w:rsid w:val="004F5877"/>
    <w:rsid w:val="004F6C7D"/>
    <w:rsid w:val="004F7E72"/>
    <w:rsid w:val="0050039E"/>
    <w:rsid w:val="00500C8B"/>
    <w:rsid w:val="00500DDE"/>
    <w:rsid w:val="0050274A"/>
    <w:rsid w:val="005039A4"/>
    <w:rsid w:val="00503AAC"/>
    <w:rsid w:val="005065AA"/>
    <w:rsid w:val="00507849"/>
    <w:rsid w:val="00510CE3"/>
    <w:rsid w:val="00512818"/>
    <w:rsid w:val="00514A57"/>
    <w:rsid w:val="0051532C"/>
    <w:rsid w:val="00516EA9"/>
    <w:rsid w:val="005217AD"/>
    <w:rsid w:val="0052196B"/>
    <w:rsid w:val="005232A8"/>
    <w:rsid w:val="0052505C"/>
    <w:rsid w:val="0052688B"/>
    <w:rsid w:val="00534869"/>
    <w:rsid w:val="00534AE4"/>
    <w:rsid w:val="00534C14"/>
    <w:rsid w:val="00535D81"/>
    <w:rsid w:val="00537099"/>
    <w:rsid w:val="005426FC"/>
    <w:rsid w:val="00543DF9"/>
    <w:rsid w:val="00544A63"/>
    <w:rsid w:val="0055489C"/>
    <w:rsid w:val="00555AF6"/>
    <w:rsid w:val="00556B32"/>
    <w:rsid w:val="0055794D"/>
    <w:rsid w:val="005601F6"/>
    <w:rsid w:val="00563BA7"/>
    <w:rsid w:val="00564013"/>
    <w:rsid w:val="00567B19"/>
    <w:rsid w:val="00570B4E"/>
    <w:rsid w:val="00575C27"/>
    <w:rsid w:val="005841C6"/>
    <w:rsid w:val="005874C6"/>
    <w:rsid w:val="00590F85"/>
    <w:rsid w:val="00592DF3"/>
    <w:rsid w:val="0059362A"/>
    <w:rsid w:val="00595E7A"/>
    <w:rsid w:val="005964ED"/>
    <w:rsid w:val="005975D1"/>
    <w:rsid w:val="00597D51"/>
    <w:rsid w:val="005A0D91"/>
    <w:rsid w:val="005A3A62"/>
    <w:rsid w:val="005A4902"/>
    <w:rsid w:val="005A5570"/>
    <w:rsid w:val="005A5EB8"/>
    <w:rsid w:val="005B3C3E"/>
    <w:rsid w:val="005B5B7A"/>
    <w:rsid w:val="005C0EA5"/>
    <w:rsid w:val="005C1FAC"/>
    <w:rsid w:val="005C29B5"/>
    <w:rsid w:val="005C3810"/>
    <w:rsid w:val="005C467F"/>
    <w:rsid w:val="005D1751"/>
    <w:rsid w:val="005D1F53"/>
    <w:rsid w:val="005D31CE"/>
    <w:rsid w:val="005D49D7"/>
    <w:rsid w:val="005E6A94"/>
    <w:rsid w:val="005E7166"/>
    <w:rsid w:val="005F74AF"/>
    <w:rsid w:val="00602DCF"/>
    <w:rsid w:val="00606652"/>
    <w:rsid w:val="0061394C"/>
    <w:rsid w:val="00614A88"/>
    <w:rsid w:val="00614FE1"/>
    <w:rsid w:val="00615240"/>
    <w:rsid w:val="006174A0"/>
    <w:rsid w:val="00621F84"/>
    <w:rsid w:val="00625A85"/>
    <w:rsid w:val="0063052C"/>
    <w:rsid w:val="00632E3C"/>
    <w:rsid w:val="00633F7E"/>
    <w:rsid w:val="006355F9"/>
    <w:rsid w:val="0063636F"/>
    <w:rsid w:val="00636A66"/>
    <w:rsid w:val="006376E3"/>
    <w:rsid w:val="00642AA3"/>
    <w:rsid w:val="00647999"/>
    <w:rsid w:val="0065041F"/>
    <w:rsid w:val="00651019"/>
    <w:rsid w:val="00651A86"/>
    <w:rsid w:val="006541AD"/>
    <w:rsid w:val="0065511F"/>
    <w:rsid w:val="006604C4"/>
    <w:rsid w:val="006607AD"/>
    <w:rsid w:val="006626EA"/>
    <w:rsid w:val="006627D7"/>
    <w:rsid w:val="006633CF"/>
    <w:rsid w:val="006639B9"/>
    <w:rsid w:val="00664B5D"/>
    <w:rsid w:val="0067170F"/>
    <w:rsid w:val="006768B3"/>
    <w:rsid w:val="00680721"/>
    <w:rsid w:val="00681485"/>
    <w:rsid w:val="00682E67"/>
    <w:rsid w:val="00690D64"/>
    <w:rsid w:val="0069131C"/>
    <w:rsid w:val="00695045"/>
    <w:rsid w:val="00695A60"/>
    <w:rsid w:val="00695E84"/>
    <w:rsid w:val="00696A68"/>
    <w:rsid w:val="00696DB9"/>
    <w:rsid w:val="00696E8F"/>
    <w:rsid w:val="00696ECD"/>
    <w:rsid w:val="00697963"/>
    <w:rsid w:val="00697F89"/>
    <w:rsid w:val="006B30E8"/>
    <w:rsid w:val="006B7677"/>
    <w:rsid w:val="006C029C"/>
    <w:rsid w:val="006C2A52"/>
    <w:rsid w:val="006C2D27"/>
    <w:rsid w:val="006C5F4F"/>
    <w:rsid w:val="006C6B5F"/>
    <w:rsid w:val="006C739A"/>
    <w:rsid w:val="006C7B36"/>
    <w:rsid w:val="006D0E9C"/>
    <w:rsid w:val="006D2236"/>
    <w:rsid w:val="006D3E91"/>
    <w:rsid w:val="006D6852"/>
    <w:rsid w:val="006D7197"/>
    <w:rsid w:val="006E07BA"/>
    <w:rsid w:val="006E6AB4"/>
    <w:rsid w:val="006F01E0"/>
    <w:rsid w:val="006F2700"/>
    <w:rsid w:val="006F46CD"/>
    <w:rsid w:val="006F4F8B"/>
    <w:rsid w:val="006F64DA"/>
    <w:rsid w:val="006F676D"/>
    <w:rsid w:val="006F7302"/>
    <w:rsid w:val="00701BEE"/>
    <w:rsid w:val="0070419D"/>
    <w:rsid w:val="00704F03"/>
    <w:rsid w:val="00705E9E"/>
    <w:rsid w:val="0070701F"/>
    <w:rsid w:val="0070761F"/>
    <w:rsid w:val="00707A45"/>
    <w:rsid w:val="00712CEE"/>
    <w:rsid w:val="00713994"/>
    <w:rsid w:val="00713E3E"/>
    <w:rsid w:val="00716A51"/>
    <w:rsid w:val="00721691"/>
    <w:rsid w:val="00721E6B"/>
    <w:rsid w:val="007240AC"/>
    <w:rsid w:val="00726460"/>
    <w:rsid w:val="007268B3"/>
    <w:rsid w:val="00730C8C"/>
    <w:rsid w:val="007364C6"/>
    <w:rsid w:val="0073686D"/>
    <w:rsid w:val="00736F4B"/>
    <w:rsid w:val="007414F8"/>
    <w:rsid w:val="00741ACA"/>
    <w:rsid w:val="00742FB8"/>
    <w:rsid w:val="00744704"/>
    <w:rsid w:val="00744765"/>
    <w:rsid w:val="007453A3"/>
    <w:rsid w:val="00745523"/>
    <w:rsid w:val="00746351"/>
    <w:rsid w:val="00747533"/>
    <w:rsid w:val="00750784"/>
    <w:rsid w:val="00756216"/>
    <w:rsid w:val="00760FD5"/>
    <w:rsid w:val="00763D13"/>
    <w:rsid w:val="00767DD8"/>
    <w:rsid w:val="00772FC1"/>
    <w:rsid w:val="00773B46"/>
    <w:rsid w:val="00776B0C"/>
    <w:rsid w:val="00776D09"/>
    <w:rsid w:val="00781C3B"/>
    <w:rsid w:val="00782559"/>
    <w:rsid w:val="007830C7"/>
    <w:rsid w:val="0078527E"/>
    <w:rsid w:val="007913BB"/>
    <w:rsid w:val="00794128"/>
    <w:rsid w:val="00797505"/>
    <w:rsid w:val="007A04F6"/>
    <w:rsid w:val="007B1AD2"/>
    <w:rsid w:val="007B20C2"/>
    <w:rsid w:val="007B21BB"/>
    <w:rsid w:val="007B26DD"/>
    <w:rsid w:val="007B427A"/>
    <w:rsid w:val="007B7E1A"/>
    <w:rsid w:val="007C00DE"/>
    <w:rsid w:val="007C0857"/>
    <w:rsid w:val="007D234E"/>
    <w:rsid w:val="007D2735"/>
    <w:rsid w:val="007D40A2"/>
    <w:rsid w:val="007E2F5E"/>
    <w:rsid w:val="007E67F6"/>
    <w:rsid w:val="007F0932"/>
    <w:rsid w:val="007F0D56"/>
    <w:rsid w:val="007F147A"/>
    <w:rsid w:val="007F3484"/>
    <w:rsid w:val="007F5AB8"/>
    <w:rsid w:val="007F7BDB"/>
    <w:rsid w:val="00800FAB"/>
    <w:rsid w:val="0080243B"/>
    <w:rsid w:val="00804102"/>
    <w:rsid w:val="00806422"/>
    <w:rsid w:val="0081015F"/>
    <w:rsid w:val="008107E6"/>
    <w:rsid w:val="00813C78"/>
    <w:rsid w:val="008143F6"/>
    <w:rsid w:val="0081696E"/>
    <w:rsid w:val="00820CFC"/>
    <w:rsid w:val="0082235E"/>
    <w:rsid w:val="00823876"/>
    <w:rsid w:val="00823CCF"/>
    <w:rsid w:val="00824E2D"/>
    <w:rsid w:val="00824EA5"/>
    <w:rsid w:val="00826E12"/>
    <w:rsid w:val="00831D1E"/>
    <w:rsid w:val="00832546"/>
    <w:rsid w:val="0083589D"/>
    <w:rsid w:val="0084182D"/>
    <w:rsid w:val="008428D7"/>
    <w:rsid w:val="008431E9"/>
    <w:rsid w:val="008450F9"/>
    <w:rsid w:val="0084535A"/>
    <w:rsid w:val="00847D48"/>
    <w:rsid w:val="00847DEE"/>
    <w:rsid w:val="00851D84"/>
    <w:rsid w:val="008639F7"/>
    <w:rsid w:val="0087037C"/>
    <w:rsid w:val="008756B1"/>
    <w:rsid w:val="00877130"/>
    <w:rsid w:val="00877CE8"/>
    <w:rsid w:val="00883EFE"/>
    <w:rsid w:val="008860E1"/>
    <w:rsid w:val="0088684E"/>
    <w:rsid w:val="00887156"/>
    <w:rsid w:val="0089020B"/>
    <w:rsid w:val="00890240"/>
    <w:rsid w:val="00892AEE"/>
    <w:rsid w:val="0089483D"/>
    <w:rsid w:val="00896677"/>
    <w:rsid w:val="008A00A6"/>
    <w:rsid w:val="008A027A"/>
    <w:rsid w:val="008A10BF"/>
    <w:rsid w:val="008A1D11"/>
    <w:rsid w:val="008A2A35"/>
    <w:rsid w:val="008A4AFF"/>
    <w:rsid w:val="008A60A1"/>
    <w:rsid w:val="008B4333"/>
    <w:rsid w:val="008B4381"/>
    <w:rsid w:val="008B48F0"/>
    <w:rsid w:val="008B574D"/>
    <w:rsid w:val="008B662D"/>
    <w:rsid w:val="008C1684"/>
    <w:rsid w:val="008C2806"/>
    <w:rsid w:val="008C4E10"/>
    <w:rsid w:val="008C5E78"/>
    <w:rsid w:val="008D2E17"/>
    <w:rsid w:val="008E0032"/>
    <w:rsid w:val="008E1D42"/>
    <w:rsid w:val="008E3A3F"/>
    <w:rsid w:val="008E6716"/>
    <w:rsid w:val="008E68F7"/>
    <w:rsid w:val="008E6E81"/>
    <w:rsid w:val="008E74D4"/>
    <w:rsid w:val="008E79FB"/>
    <w:rsid w:val="008F1349"/>
    <w:rsid w:val="008F242B"/>
    <w:rsid w:val="008F2A2A"/>
    <w:rsid w:val="00904F9F"/>
    <w:rsid w:val="00905A56"/>
    <w:rsid w:val="009061CC"/>
    <w:rsid w:val="0090799D"/>
    <w:rsid w:val="00911D93"/>
    <w:rsid w:val="009153FD"/>
    <w:rsid w:val="00921670"/>
    <w:rsid w:val="00921901"/>
    <w:rsid w:val="00924E59"/>
    <w:rsid w:val="00925022"/>
    <w:rsid w:val="0092552C"/>
    <w:rsid w:val="0093225D"/>
    <w:rsid w:val="009358E1"/>
    <w:rsid w:val="00935EDD"/>
    <w:rsid w:val="00943423"/>
    <w:rsid w:val="0094431D"/>
    <w:rsid w:val="0094506A"/>
    <w:rsid w:val="009467D7"/>
    <w:rsid w:val="00950798"/>
    <w:rsid w:val="00951042"/>
    <w:rsid w:val="00955C49"/>
    <w:rsid w:val="00957699"/>
    <w:rsid w:val="00962934"/>
    <w:rsid w:val="00965826"/>
    <w:rsid w:val="00965B86"/>
    <w:rsid w:val="009674C4"/>
    <w:rsid w:val="00971B28"/>
    <w:rsid w:val="00972696"/>
    <w:rsid w:val="00973FFC"/>
    <w:rsid w:val="00974226"/>
    <w:rsid w:val="00974893"/>
    <w:rsid w:val="00977A43"/>
    <w:rsid w:val="00980DE7"/>
    <w:rsid w:val="00982600"/>
    <w:rsid w:val="00983929"/>
    <w:rsid w:val="009867B9"/>
    <w:rsid w:val="00990277"/>
    <w:rsid w:val="009905E1"/>
    <w:rsid w:val="00996B91"/>
    <w:rsid w:val="009A2A6A"/>
    <w:rsid w:val="009A59BF"/>
    <w:rsid w:val="009A5A65"/>
    <w:rsid w:val="009B093B"/>
    <w:rsid w:val="009B16A6"/>
    <w:rsid w:val="009C11A1"/>
    <w:rsid w:val="009C362D"/>
    <w:rsid w:val="009C5A87"/>
    <w:rsid w:val="009C6FCD"/>
    <w:rsid w:val="009D130F"/>
    <w:rsid w:val="009D4138"/>
    <w:rsid w:val="009D5A05"/>
    <w:rsid w:val="009E0433"/>
    <w:rsid w:val="009E07AB"/>
    <w:rsid w:val="009E1210"/>
    <w:rsid w:val="009E2DC4"/>
    <w:rsid w:val="009E7F82"/>
    <w:rsid w:val="009F1F0C"/>
    <w:rsid w:val="009F2E7E"/>
    <w:rsid w:val="009F524F"/>
    <w:rsid w:val="009F62E7"/>
    <w:rsid w:val="00A01024"/>
    <w:rsid w:val="00A02942"/>
    <w:rsid w:val="00A029D7"/>
    <w:rsid w:val="00A02EA1"/>
    <w:rsid w:val="00A043DC"/>
    <w:rsid w:val="00A07663"/>
    <w:rsid w:val="00A101AA"/>
    <w:rsid w:val="00A157B4"/>
    <w:rsid w:val="00A16C2D"/>
    <w:rsid w:val="00A17CA8"/>
    <w:rsid w:val="00A2763F"/>
    <w:rsid w:val="00A27E58"/>
    <w:rsid w:val="00A31F5D"/>
    <w:rsid w:val="00A325E3"/>
    <w:rsid w:val="00A32A8D"/>
    <w:rsid w:val="00A330F0"/>
    <w:rsid w:val="00A33BEC"/>
    <w:rsid w:val="00A3430E"/>
    <w:rsid w:val="00A4376E"/>
    <w:rsid w:val="00A45738"/>
    <w:rsid w:val="00A47D94"/>
    <w:rsid w:val="00A53013"/>
    <w:rsid w:val="00A53A48"/>
    <w:rsid w:val="00A56144"/>
    <w:rsid w:val="00A56C79"/>
    <w:rsid w:val="00A613BC"/>
    <w:rsid w:val="00A62DC8"/>
    <w:rsid w:val="00A634E0"/>
    <w:rsid w:val="00A63829"/>
    <w:rsid w:val="00A72B96"/>
    <w:rsid w:val="00A72BB6"/>
    <w:rsid w:val="00A72CFA"/>
    <w:rsid w:val="00A75317"/>
    <w:rsid w:val="00A77A6A"/>
    <w:rsid w:val="00A828F7"/>
    <w:rsid w:val="00A835E5"/>
    <w:rsid w:val="00A85BF0"/>
    <w:rsid w:val="00A91715"/>
    <w:rsid w:val="00A91E7E"/>
    <w:rsid w:val="00A9335C"/>
    <w:rsid w:val="00A9541E"/>
    <w:rsid w:val="00A963EA"/>
    <w:rsid w:val="00A97AB9"/>
    <w:rsid w:val="00AA15CF"/>
    <w:rsid w:val="00AA1D84"/>
    <w:rsid w:val="00AA3EC1"/>
    <w:rsid w:val="00AA47CA"/>
    <w:rsid w:val="00AA6757"/>
    <w:rsid w:val="00AB1CA7"/>
    <w:rsid w:val="00AB2451"/>
    <w:rsid w:val="00AB4740"/>
    <w:rsid w:val="00AB4C23"/>
    <w:rsid w:val="00AB51C8"/>
    <w:rsid w:val="00AB731C"/>
    <w:rsid w:val="00AC227D"/>
    <w:rsid w:val="00AC2C3C"/>
    <w:rsid w:val="00AC3CD4"/>
    <w:rsid w:val="00AD0287"/>
    <w:rsid w:val="00AD66F6"/>
    <w:rsid w:val="00AD6CE9"/>
    <w:rsid w:val="00AE2CAA"/>
    <w:rsid w:val="00AE3929"/>
    <w:rsid w:val="00AE7AED"/>
    <w:rsid w:val="00AF398C"/>
    <w:rsid w:val="00AF5C9C"/>
    <w:rsid w:val="00B009F4"/>
    <w:rsid w:val="00B01472"/>
    <w:rsid w:val="00B038E2"/>
    <w:rsid w:val="00B05BB4"/>
    <w:rsid w:val="00B13813"/>
    <w:rsid w:val="00B13B4E"/>
    <w:rsid w:val="00B16503"/>
    <w:rsid w:val="00B227BD"/>
    <w:rsid w:val="00B23A75"/>
    <w:rsid w:val="00B23EEC"/>
    <w:rsid w:val="00B25AD3"/>
    <w:rsid w:val="00B271A3"/>
    <w:rsid w:val="00B27C41"/>
    <w:rsid w:val="00B34B99"/>
    <w:rsid w:val="00B359CB"/>
    <w:rsid w:val="00B37F05"/>
    <w:rsid w:val="00B43D4F"/>
    <w:rsid w:val="00B44D6A"/>
    <w:rsid w:val="00B51F9B"/>
    <w:rsid w:val="00B53603"/>
    <w:rsid w:val="00B61080"/>
    <w:rsid w:val="00B63DA4"/>
    <w:rsid w:val="00B654C3"/>
    <w:rsid w:val="00B71A35"/>
    <w:rsid w:val="00B72784"/>
    <w:rsid w:val="00B7526E"/>
    <w:rsid w:val="00B7642B"/>
    <w:rsid w:val="00B7699F"/>
    <w:rsid w:val="00B80C16"/>
    <w:rsid w:val="00B85017"/>
    <w:rsid w:val="00B86214"/>
    <w:rsid w:val="00B9315B"/>
    <w:rsid w:val="00B944AD"/>
    <w:rsid w:val="00B945B6"/>
    <w:rsid w:val="00B949C1"/>
    <w:rsid w:val="00B96154"/>
    <w:rsid w:val="00B97742"/>
    <w:rsid w:val="00B97964"/>
    <w:rsid w:val="00BA1220"/>
    <w:rsid w:val="00BA2873"/>
    <w:rsid w:val="00BA2E50"/>
    <w:rsid w:val="00BA5092"/>
    <w:rsid w:val="00BA5C41"/>
    <w:rsid w:val="00BA6B81"/>
    <w:rsid w:val="00BA73AC"/>
    <w:rsid w:val="00BB01A8"/>
    <w:rsid w:val="00BB1600"/>
    <w:rsid w:val="00BB43B4"/>
    <w:rsid w:val="00BB51BE"/>
    <w:rsid w:val="00BB7B02"/>
    <w:rsid w:val="00BC0528"/>
    <w:rsid w:val="00BC43A9"/>
    <w:rsid w:val="00BC69E6"/>
    <w:rsid w:val="00BD012B"/>
    <w:rsid w:val="00BD03E3"/>
    <w:rsid w:val="00BD137C"/>
    <w:rsid w:val="00BD2315"/>
    <w:rsid w:val="00BD28AA"/>
    <w:rsid w:val="00BD357A"/>
    <w:rsid w:val="00BD4994"/>
    <w:rsid w:val="00BE19BA"/>
    <w:rsid w:val="00BE4D2B"/>
    <w:rsid w:val="00BE7025"/>
    <w:rsid w:val="00BF1E4F"/>
    <w:rsid w:val="00BF2DE1"/>
    <w:rsid w:val="00BF48DE"/>
    <w:rsid w:val="00BF6B30"/>
    <w:rsid w:val="00C0062E"/>
    <w:rsid w:val="00C0215D"/>
    <w:rsid w:val="00C02C3F"/>
    <w:rsid w:val="00C0422C"/>
    <w:rsid w:val="00C05C17"/>
    <w:rsid w:val="00C07033"/>
    <w:rsid w:val="00C07DBB"/>
    <w:rsid w:val="00C07E32"/>
    <w:rsid w:val="00C11DF4"/>
    <w:rsid w:val="00C1281C"/>
    <w:rsid w:val="00C15BBF"/>
    <w:rsid w:val="00C16960"/>
    <w:rsid w:val="00C16993"/>
    <w:rsid w:val="00C16EEF"/>
    <w:rsid w:val="00C173D0"/>
    <w:rsid w:val="00C179B0"/>
    <w:rsid w:val="00C20FFE"/>
    <w:rsid w:val="00C21020"/>
    <w:rsid w:val="00C21A0F"/>
    <w:rsid w:val="00C21A2E"/>
    <w:rsid w:val="00C21FB1"/>
    <w:rsid w:val="00C243F1"/>
    <w:rsid w:val="00C27E0F"/>
    <w:rsid w:val="00C33E71"/>
    <w:rsid w:val="00C346A5"/>
    <w:rsid w:val="00C368C2"/>
    <w:rsid w:val="00C372C1"/>
    <w:rsid w:val="00C400BE"/>
    <w:rsid w:val="00C4249D"/>
    <w:rsid w:val="00C43100"/>
    <w:rsid w:val="00C45534"/>
    <w:rsid w:val="00C477BD"/>
    <w:rsid w:val="00C47A05"/>
    <w:rsid w:val="00C50F62"/>
    <w:rsid w:val="00C51652"/>
    <w:rsid w:val="00C52E1F"/>
    <w:rsid w:val="00C530DA"/>
    <w:rsid w:val="00C53CF5"/>
    <w:rsid w:val="00C55574"/>
    <w:rsid w:val="00C600B5"/>
    <w:rsid w:val="00C62BCD"/>
    <w:rsid w:val="00C7211E"/>
    <w:rsid w:val="00C727D8"/>
    <w:rsid w:val="00C754A3"/>
    <w:rsid w:val="00C76ACC"/>
    <w:rsid w:val="00C80596"/>
    <w:rsid w:val="00C81497"/>
    <w:rsid w:val="00C81794"/>
    <w:rsid w:val="00C920EF"/>
    <w:rsid w:val="00C92175"/>
    <w:rsid w:val="00C9493C"/>
    <w:rsid w:val="00C957DA"/>
    <w:rsid w:val="00C958F0"/>
    <w:rsid w:val="00C95D8F"/>
    <w:rsid w:val="00CA048F"/>
    <w:rsid w:val="00CA0FF4"/>
    <w:rsid w:val="00CA2024"/>
    <w:rsid w:val="00CA225C"/>
    <w:rsid w:val="00CA29E4"/>
    <w:rsid w:val="00CA77A2"/>
    <w:rsid w:val="00CB2FFE"/>
    <w:rsid w:val="00CB30AF"/>
    <w:rsid w:val="00CB3B2F"/>
    <w:rsid w:val="00CB686C"/>
    <w:rsid w:val="00CC5797"/>
    <w:rsid w:val="00CC6E0F"/>
    <w:rsid w:val="00CC7CE3"/>
    <w:rsid w:val="00CD1D76"/>
    <w:rsid w:val="00CD31DD"/>
    <w:rsid w:val="00CD4C5C"/>
    <w:rsid w:val="00CD5923"/>
    <w:rsid w:val="00CD59C1"/>
    <w:rsid w:val="00CE4451"/>
    <w:rsid w:val="00CE6165"/>
    <w:rsid w:val="00CF407E"/>
    <w:rsid w:val="00D0007A"/>
    <w:rsid w:val="00D03475"/>
    <w:rsid w:val="00D03BD6"/>
    <w:rsid w:val="00D04440"/>
    <w:rsid w:val="00D14060"/>
    <w:rsid w:val="00D1516C"/>
    <w:rsid w:val="00D16216"/>
    <w:rsid w:val="00D16885"/>
    <w:rsid w:val="00D16DF3"/>
    <w:rsid w:val="00D205D1"/>
    <w:rsid w:val="00D20E52"/>
    <w:rsid w:val="00D219C4"/>
    <w:rsid w:val="00D24CCA"/>
    <w:rsid w:val="00D32894"/>
    <w:rsid w:val="00D338E7"/>
    <w:rsid w:val="00D361CC"/>
    <w:rsid w:val="00D37326"/>
    <w:rsid w:val="00D41861"/>
    <w:rsid w:val="00D42B5C"/>
    <w:rsid w:val="00D43021"/>
    <w:rsid w:val="00D4375C"/>
    <w:rsid w:val="00D50848"/>
    <w:rsid w:val="00D50B73"/>
    <w:rsid w:val="00D53D0A"/>
    <w:rsid w:val="00D54282"/>
    <w:rsid w:val="00D54DC9"/>
    <w:rsid w:val="00D55E29"/>
    <w:rsid w:val="00D5621C"/>
    <w:rsid w:val="00D56E1A"/>
    <w:rsid w:val="00D603A5"/>
    <w:rsid w:val="00D63E35"/>
    <w:rsid w:val="00D64EFA"/>
    <w:rsid w:val="00D676DE"/>
    <w:rsid w:val="00D67B12"/>
    <w:rsid w:val="00D70CBD"/>
    <w:rsid w:val="00D71A16"/>
    <w:rsid w:val="00D7711C"/>
    <w:rsid w:val="00D77453"/>
    <w:rsid w:val="00D77646"/>
    <w:rsid w:val="00D81E40"/>
    <w:rsid w:val="00D8303F"/>
    <w:rsid w:val="00D86517"/>
    <w:rsid w:val="00D92002"/>
    <w:rsid w:val="00D92424"/>
    <w:rsid w:val="00D925FF"/>
    <w:rsid w:val="00D93369"/>
    <w:rsid w:val="00D9349B"/>
    <w:rsid w:val="00D969C1"/>
    <w:rsid w:val="00D979BD"/>
    <w:rsid w:val="00DA0F32"/>
    <w:rsid w:val="00DA4006"/>
    <w:rsid w:val="00DA4890"/>
    <w:rsid w:val="00DA5562"/>
    <w:rsid w:val="00DA6A54"/>
    <w:rsid w:val="00DA6D65"/>
    <w:rsid w:val="00DB28CD"/>
    <w:rsid w:val="00DB2EF0"/>
    <w:rsid w:val="00DB3149"/>
    <w:rsid w:val="00DC070A"/>
    <w:rsid w:val="00DC0846"/>
    <w:rsid w:val="00DC0C5F"/>
    <w:rsid w:val="00DC2CF1"/>
    <w:rsid w:val="00DC3347"/>
    <w:rsid w:val="00DC3666"/>
    <w:rsid w:val="00DC4054"/>
    <w:rsid w:val="00DC5D3B"/>
    <w:rsid w:val="00DC6F1B"/>
    <w:rsid w:val="00DC7D40"/>
    <w:rsid w:val="00DD2912"/>
    <w:rsid w:val="00DD424A"/>
    <w:rsid w:val="00DD4B0D"/>
    <w:rsid w:val="00DD4F42"/>
    <w:rsid w:val="00DE057A"/>
    <w:rsid w:val="00DE0CDE"/>
    <w:rsid w:val="00DE4719"/>
    <w:rsid w:val="00DE6D3F"/>
    <w:rsid w:val="00DE7308"/>
    <w:rsid w:val="00DF09F9"/>
    <w:rsid w:val="00DF48F0"/>
    <w:rsid w:val="00E01729"/>
    <w:rsid w:val="00E01D4F"/>
    <w:rsid w:val="00E02897"/>
    <w:rsid w:val="00E02961"/>
    <w:rsid w:val="00E02CD2"/>
    <w:rsid w:val="00E06A24"/>
    <w:rsid w:val="00E10C38"/>
    <w:rsid w:val="00E13B80"/>
    <w:rsid w:val="00E150BF"/>
    <w:rsid w:val="00E176E6"/>
    <w:rsid w:val="00E201A6"/>
    <w:rsid w:val="00E23BED"/>
    <w:rsid w:val="00E24EA4"/>
    <w:rsid w:val="00E26691"/>
    <w:rsid w:val="00E26D31"/>
    <w:rsid w:val="00E26E04"/>
    <w:rsid w:val="00E27883"/>
    <w:rsid w:val="00E33B26"/>
    <w:rsid w:val="00E3419E"/>
    <w:rsid w:val="00E34640"/>
    <w:rsid w:val="00E3540E"/>
    <w:rsid w:val="00E3566D"/>
    <w:rsid w:val="00E361CC"/>
    <w:rsid w:val="00E45AAE"/>
    <w:rsid w:val="00E46927"/>
    <w:rsid w:val="00E47FCA"/>
    <w:rsid w:val="00E51185"/>
    <w:rsid w:val="00E53456"/>
    <w:rsid w:val="00E53D70"/>
    <w:rsid w:val="00E55E7A"/>
    <w:rsid w:val="00E56806"/>
    <w:rsid w:val="00E60B26"/>
    <w:rsid w:val="00E61D9B"/>
    <w:rsid w:val="00E62E0F"/>
    <w:rsid w:val="00E6632C"/>
    <w:rsid w:val="00E6696A"/>
    <w:rsid w:val="00E70F66"/>
    <w:rsid w:val="00E71E9E"/>
    <w:rsid w:val="00E727EA"/>
    <w:rsid w:val="00E73305"/>
    <w:rsid w:val="00E73644"/>
    <w:rsid w:val="00E74838"/>
    <w:rsid w:val="00E81906"/>
    <w:rsid w:val="00E957A5"/>
    <w:rsid w:val="00E9642B"/>
    <w:rsid w:val="00E97BF7"/>
    <w:rsid w:val="00E97C6F"/>
    <w:rsid w:val="00EA07AA"/>
    <w:rsid w:val="00EA20B0"/>
    <w:rsid w:val="00EA2FF5"/>
    <w:rsid w:val="00EA74C8"/>
    <w:rsid w:val="00EB60B6"/>
    <w:rsid w:val="00EB7798"/>
    <w:rsid w:val="00EB7C0B"/>
    <w:rsid w:val="00EC1714"/>
    <w:rsid w:val="00EC1BA1"/>
    <w:rsid w:val="00EC411A"/>
    <w:rsid w:val="00EC4361"/>
    <w:rsid w:val="00EC52E9"/>
    <w:rsid w:val="00ED1FE7"/>
    <w:rsid w:val="00ED71CA"/>
    <w:rsid w:val="00EE13AF"/>
    <w:rsid w:val="00EE157D"/>
    <w:rsid w:val="00EE36A4"/>
    <w:rsid w:val="00EE3740"/>
    <w:rsid w:val="00EE4B85"/>
    <w:rsid w:val="00EF0387"/>
    <w:rsid w:val="00EF2E32"/>
    <w:rsid w:val="00EF3284"/>
    <w:rsid w:val="00EF3C07"/>
    <w:rsid w:val="00EF3C6B"/>
    <w:rsid w:val="00EF3E6B"/>
    <w:rsid w:val="00EF438D"/>
    <w:rsid w:val="00EF577E"/>
    <w:rsid w:val="00EF59EF"/>
    <w:rsid w:val="00F00855"/>
    <w:rsid w:val="00F03050"/>
    <w:rsid w:val="00F04C10"/>
    <w:rsid w:val="00F04E24"/>
    <w:rsid w:val="00F065A5"/>
    <w:rsid w:val="00F10320"/>
    <w:rsid w:val="00F106EA"/>
    <w:rsid w:val="00F11D87"/>
    <w:rsid w:val="00F14EE8"/>
    <w:rsid w:val="00F1516B"/>
    <w:rsid w:val="00F23312"/>
    <w:rsid w:val="00F24C79"/>
    <w:rsid w:val="00F3005D"/>
    <w:rsid w:val="00F3006B"/>
    <w:rsid w:val="00F3080C"/>
    <w:rsid w:val="00F34D6E"/>
    <w:rsid w:val="00F34E22"/>
    <w:rsid w:val="00F371CB"/>
    <w:rsid w:val="00F37ACD"/>
    <w:rsid w:val="00F41D11"/>
    <w:rsid w:val="00F47910"/>
    <w:rsid w:val="00F47F8F"/>
    <w:rsid w:val="00F512F5"/>
    <w:rsid w:val="00F51436"/>
    <w:rsid w:val="00F5221F"/>
    <w:rsid w:val="00F53A64"/>
    <w:rsid w:val="00F542E3"/>
    <w:rsid w:val="00F55902"/>
    <w:rsid w:val="00F615EA"/>
    <w:rsid w:val="00F654BA"/>
    <w:rsid w:val="00F65873"/>
    <w:rsid w:val="00F716D7"/>
    <w:rsid w:val="00F72005"/>
    <w:rsid w:val="00F74995"/>
    <w:rsid w:val="00F76884"/>
    <w:rsid w:val="00F76BD1"/>
    <w:rsid w:val="00F80F7B"/>
    <w:rsid w:val="00F817F4"/>
    <w:rsid w:val="00F82593"/>
    <w:rsid w:val="00F82C96"/>
    <w:rsid w:val="00F900FB"/>
    <w:rsid w:val="00F90539"/>
    <w:rsid w:val="00FA0DE2"/>
    <w:rsid w:val="00FA13EF"/>
    <w:rsid w:val="00FA2EB8"/>
    <w:rsid w:val="00FA467C"/>
    <w:rsid w:val="00FA6A06"/>
    <w:rsid w:val="00FA6F8F"/>
    <w:rsid w:val="00FA7FAB"/>
    <w:rsid w:val="00FB1AFF"/>
    <w:rsid w:val="00FB37AC"/>
    <w:rsid w:val="00FB4941"/>
    <w:rsid w:val="00FB57DA"/>
    <w:rsid w:val="00FB6B51"/>
    <w:rsid w:val="00FC335E"/>
    <w:rsid w:val="00FD2633"/>
    <w:rsid w:val="00FD43C9"/>
    <w:rsid w:val="00FD4571"/>
    <w:rsid w:val="00FD4F18"/>
    <w:rsid w:val="00FD6EB3"/>
    <w:rsid w:val="00FE2449"/>
    <w:rsid w:val="00FE2BB5"/>
    <w:rsid w:val="00FE2C06"/>
    <w:rsid w:val="00FE2D66"/>
    <w:rsid w:val="00FE45BF"/>
    <w:rsid w:val="00FE5539"/>
    <w:rsid w:val="00FE5B85"/>
    <w:rsid w:val="00FF0BF4"/>
    <w:rsid w:val="00FF29A2"/>
    <w:rsid w:val="00FF3A89"/>
    <w:rsid w:val="00FF4D58"/>
    <w:rsid w:val="00FF6C10"/>
    <w:rsid w:val="00FF7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80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38D"/>
    <w:pPr>
      <w:ind w:left="720"/>
      <w:contextualSpacing/>
    </w:pPr>
  </w:style>
  <w:style w:type="paragraph" w:styleId="BalloonText">
    <w:name w:val="Balloon Text"/>
    <w:basedOn w:val="Normal"/>
    <w:link w:val="BalloonTextChar"/>
    <w:uiPriority w:val="99"/>
    <w:semiHidden/>
    <w:unhideWhenUsed/>
    <w:rsid w:val="00B43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4F"/>
    <w:rPr>
      <w:rFonts w:ascii="Tahoma" w:hAnsi="Tahoma" w:cs="Tahoma"/>
      <w:sz w:val="16"/>
      <w:szCs w:val="16"/>
    </w:rPr>
  </w:style>
  <w:style w:type="character" w:customStyle="1" w:styleId="apple-converted-space">
    <w:name w:val="apple-converted-space"/>
    <w:basedOn w:val="DefaultParagraphFont"/>
    <w:rsid w:val="00AB51C8"/>
  </w:style>
  <w:style w:type="paragraph" w:styleId="Header">
    <w:name w:val="header"/>
    <w:basedOn w:val="Normal"/>
    <w:link w:val="HeaderChar"/>
    <w:uiPriority w:val="99"/>
    <w:unhideWhenUsed/>
    <w:rsid w:val="00543DF9"/>
    <w:pPr>
      <w:tabs>
        <w:tab w:val="center" w:pos="4513"/>
        <w:tab w:val="right" w:pos="9026"/>
      </w:tabs>
    </w:pPr>
  </w:style>
  <w:style w:type="character" w:customStyle="1" w:styleId="HeaderChar">
    <w:name w:val="Header Char"/>
    <w:basedOn w:val="DefaultParagraphFont"/>
    <w:link w:val="Header"/>
    <w:uiPriority w:val="99"/>
    <w:rsid w:val="00543DF9"/>
    <w:rPr>
      <w:sz w:val="22"/>
      <w:szCs w:val="22"/>
      <w:lang w:val="en-US" w:eastAsia="en-US"/>
    </w:rPr>
  </w:style>
  <w:style w:type="paragraph" w:styleId="Footer">
    <w:name w:val="footer"/>
    <w:basedOn w:val="Normal"/>
    <w:link w:val="FooterChar"/>
    <w:uiPriority w:val="99"/>
    <w:unhideWhenUsed/>
    <w:rsid w:val="00543DF9"/>
    <w:pPr>
      <w:tabs>
        <w:tab w:val="center" w:pos="4513"/>
        <w:tab w:val="right" w:pos="9026"/>
      </w:tabs>
    </w:pPr>
  </w:style>
  <w:style w:type="character" w:customStyle="1" w:styleId="FooterChar">
    <w:name w:val="Footer Char"/>
    <w:basedOn w:val="DefaultParagraphFont"/>
    <w:link w:val="Footer"/>
    <w:uiPriority w:val="99"/>
    <w:rsid w:val="00543DF9"/>
    <w:rPr>
      <w:sz w:val="22"/>
      <w:szCs w:val="22"/>
      <w:lang w:val="en-US" w:eastAsia="en-US"/>
    </w:rPr>
  </w:style>
  <w:style w:type="paragraph" w:styleId="NormalWeb">
    <w:name w:val="Normal (Web)"/>
    <w:basedOn w:val="Normal"/>
    <w:uiPriority w:val="99"/>
    <w:unhideWhenUsed/>
    <w:rsid w:val="00F512F5"/>
    <w:pPr>
      <w:spacing w:before="100" w:beforeAutospacing="1" w:after="100" w:afterAutospacing="1" w:line="240" w:lineRule="auto"/>
    </w:pPr>
    <w:rPr>
      <w:rFonts w:ascii="Times New Roman" w:hAnsi="Times New Roman"/>
      <w:sz w:val="24"/>
      <w:szCs w:val="24"/>
      <w:lang w:val="en-IN" w:eastAsia="en-IN"/>
    </w:rPr>
  </w:style>
  <w:style w:type="character" w:styleId="Hyperlink">
    <w:name w:val="Hyperlink"/>
    <w:basedOn w:val="DefaultParagraphFont"/>
    <w:uiPriority w:val="99"/>
    <w:unhideWhenUsed/>
    <w:rsid w:val="000C69F5"/>
    <w:rPr>
      <w:color w:val="0000FF"/>
      <w:u w:val="single"/>
    </w:rPr>
  </w:style>
  <w:style w:type="paragraph" w:styleId="NoSpacing">
    <w:name w:val="No Spacing"/>
    <w:basedOn w:val="Normal"/>
    <w:uiPriority w:val="1"/>
    <w:qFormat/>
    <w:rsid w:val="00695A60"/>
    <w:pPr>
      <w:spacing w:after="0" w:line="240" w:lineRule="auto"/>
    </w:pPr>
    <w:rPr>
      <w:rFonts w:eastAsia="Calibri"/>
    </w:rPr>
  </w:style>
  <w:style w:type="paragraph" w:customStyle="1" w:styleId="Default">
    <w:name w:val="Default"/>
    <w:rsid w:val="003F7DDF"/>
    <w:pPr>
      <w:autoSpaceDE w:val="0"/>
      <w:autoSpaceDN w:val="0"/>
      <w:adjustRightInd w:val="0"/>
    </w:pPr>
    <w:rPr>
      <w:rFonts w:cs="Calibri"/>
      <w:color w:val="000000"/>
      <w:sz w:val="24"/>
      <w:szCs w:val="24"/>
    </w:rPr>
  </w:style>
  <w:style w:type="paragraph" w:styleId="Caption">
    <w:name w:val="caption"/>
    <w:basedOn w:val="Normal"/>
    <w:next w:val="Normal"/>
    <w:uiPriority w:val="35"/>
    <w:semiHidden/>
    <w:unhideWhenUsed/>
    <w:qFormat/>
    <w:rsid w:val="0039700D"/>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30434108">
      <w:bodyDiv w:val="1"/>
      <w:marLeft w:val="0"/>
      <w:marRight w:val="0"/>
      <w:marTop w:val="0"/>
      <w:marBottom w:val="0"/>
      <w:divBdr>
        <w:top w:val="none" w:sz="0" w:space="0" w:color="auto"/>
        <w:left w:val="none" w:sz="0" w:space="0" w:color="auto"/>
        <w:bottom w:val="none" w:sz="0" w:space="0" w:color="auto"/>
        <w:right w:val="none" w:sz="0" w:space="0" w:color="auto"/>
      </w:divBdr>
    </w:div>
    <w:div w:id="462428384">
      <w:bodyDiv w:val="1"/>
      <w:marLeft w:val="0"/>
      <w:marRight w:val="0"/>
      <w:marTop w:val="0"/>
      <w:marBottom w:val="0"/>
      <w:divBdr>
        <w:top w:val="none" w:sz="0" w:space="0" w:color="auto"/>
        <w:left w:val="none" w:sz="0" w:space="0" w:color="auto"/>
        <w:bottom w:val="none" w:sz="0" w:space="0" w:color="auto"/>
        <w:right w:val="none" w:sz="0" w:space="0" w:color="auto"/>
      </w:divBdr>
    </w:div>
    <w:div w:id="634484946">
      <w:bodyDiv w:val="1"/>
      <w:marLeft w:val="0"/>
      <w:marRight w:val="0"/>
      <w:marTop w:val="0"/>
      <w:marBottom w:val="0"/>
      <w:divBdr>
        <w:top w:val="none" w:sz="0" w:space="0" w:color="auto"/>
        <w:left w:val="none" w:sz="0" w:space="0" w:color="auto"/>
        <w:bottom w:val="none" w:sz="0" w:space="0" w:color="auto"/>
        <w:right w:val="none" w:sz="0" w:space="0" w:color="auto"/>
      </w:divBdr>
    </w:div>
    <w:div w:id="634917009">
      <w:bodyDiv w:val="1"/>
      <w:marLeft w:val="0"/>
      <w:marRight w:val="0"/>
      <w:marTop w:val="0"/>
      <w:marBottom w:val="0"/>
      <w:divBdr>
        <w:top w:val="none" w:sz="0" w:space="0" w:color="auto"/>
        <w:left w:val="none" w:sz="0" w:space="0" w:color="auto"/>
        <w:bottom w:val="none" w:sz="0" w:space="0" w:color="auto"/>
        <w:right w:val="none" w:sz="0" w:space="0" w:color="auto"/>
      </w:divBdr>
    </w:div>
    <w:div w:id="674963808">
      <w:bodyDiv w:val="1"/>
      <w:marLeft w:val="0"/>
      <w:marRight w:val="0"/>
      <w:marTop w:val="0"/>
      <w:marBottom w:val="0"/>
      <w:divBdr>
        <w:top w:val="none" w:sz="0" w:space="0" w:color="auto"/>
        <w:left w:val="none" w:sz="0" w:space="0" w:color="auto"/>
        <w:bottom w:val="none" w:sz="0" w:space="0" w:color="auto"/>
        <w:right w:val="none" w:sz="0" w:space="0" w:color="auto"/>
      </w:divBdr>
    </w:div>
    <w:div w:id="742600688">
      <w:bodyDiv w:val="1"/>
      <w:marLeft w:val="0"/>
      <w:marRight w:val="0"/>
      <w:marTop w:val="0"/>
      <w:marBottom w:val="0"/>
      <w:divBdr>
        <w:top w:val="none" w:sz="0" w:space="0" w:color="auto"/>
        <w:left w:val="none" w:sz="0" w:space="0" w:color="auto"/>
        <w:bottom w:val="none" w:sz="0" w:space="0" w:color="auto"/>
        <w:right w:val="none" w:sz="0" w:space="0" w:color="auto"/>
      </w:divBdr>
    </w:div>
    <w:div w:id="900333904">
      <w:bodyDiv w:val="1"/>
      <w:marLeft w:val="0"/>
      <w:marRight w:val="0"/>
      <w:marTop w:val="0"/>
      <w:marBottom w:val="0"/>
      <w:divBdr>
        <w:top w:val="none" w:sz="0" w:space="0" w:color="auto"/>
        <w:left w:val="none" w:sz="0" w:space="0" w:color="auto"/>
        <w:bottom w:val="none" w:sz="0" w:space="0" w:color="auto"/>
        <w:right w:val="none" w:sz="0" w:space="0" w:color="auto"/>
      </w:divBdr>
    </w:div>
    <w:div w:id="953318763">
      <w:bodyDiv w:val="1"/>
      <w:marLeft w:val="0"/>
      <w:marRight w:val="0"/>
      <w:marTop w:val="0"/>
      <w:marBottom w:val="0"/>
      <w:divBdr>
        <w:top w:val="none" w:sz="0" w:space="0" w:color="auto"/>
        <w:left w:val="none" w:sz="0" w:space="0" w:color="auto"/>
        <w:bottom w:val="none" w:sz="0" w:space="0" w:color="auto"/>
        <w:right w:val="none" w:sz="0" w:space="0" w:color="auto"/>
      </w:divBdr>
    </w:div>
    <w:div w:id="1001009656">
      <w:bodyDiv w:val="1"/>
      <w:marLeft w:val="0"/>
      <w:marRight w:val="0"/>
      <w:marTop w:val="0"/>
      <w:marBottom w:val="0"/>
      <w:divBdr>
        <w:top w:val="none" w:sz="0" w:space="0" w:color="auto"/>
        <w:left w:val="none" w:sz="0" w:space="0" w:color="auto"/>
        <w:bottom w:val="none" w:sz="0" w:space="0" w:color="auto"/>
        <w:right w:val="none" w:sz="0" w:space="0" w:color="auto"/>
      </w:divBdr>
    </w:div>
    <w:div w:id="1099523438">
      <w:bodyDiv w:val="1"/>
      <w:marLeft w:val="0"/>
      <w:marRight w:val="0"/>
      <w:marTop w:val="0"/>
      <w:marBottom w:val="0"/>
      <w:divBdr>
        <w:top w:val="none" w:sz="0" w:space="0" w:color="auto"/>
        <w:left w:val="none" w:sz="0" w:space="0" w:color="auto"/>
        <w:bottom w:val="none" w:sz="0" w:space="0" w:color="auto"/>
        <w:right w:val="none" w:sz="0" w:space="0" w:color="auto"/>
      </w:divBdr>
    </w:div>
    <w:div w:id="1195532302">
      <w:bodyDiv w:val="1"/>
      <w:marLeft w:val="0"/>
      <w:marRight w:val="0"/>
      <w:marTop w:val="0"/>
      <w:marBottom w:val="0"/>
      <w:divBdr>
        <w:top w:val="none" w:sz="0" w:space="0" w:color="auto"/>
        <w:left w:val="none" w:sz="0" w:space="0" w:color="auto"/>
        <w:bottom w:val="none" w:sz="0" w:space="0" w:color="auto"/>
        <w:right w:val="none" w:sz="0" w:space="0" w:color="auto"/>
      </w:divBdr>
    </w:div>
    <w:div w:id="1293097032">
      <w:bodyDiv w:val="1"/>
      <w:marLeft w:val="0"/>
      <w:marRight w:val="0"/>
      <w:marTop w:val="0"/>
      <w:marBottom w:val="0"/>
      <w:divBdr>
        <w:top w:val="none" w:sz="0" w:space="0" w:color="auto"/>
        <w:left w:val="none" w:sz="0" w:space="0" w:color="auto"/>
        <w:bottom w:val="none" w:sz="0" w:space="0" w:color="auto"/>
        <w:right w:val="none" w:sz="0" w:space="0" w:color="auto"/>
      </w:divBdr>
      <w:divsChild>
        <w:div w:id="943729435">
          <w:marLeft w:val="0"/>
          <w:marRight w:val="0"/>
          <w:marTop w:val="0"/>
          <w:marBottom w:val="0"/>
          <w:divBdr>
            <w:top w:val="none" w:sz="0" w:space="0" w:color="auto"/>
            <w:left w:val="none" w:sz="0" w:space="0" w:color="auto"/>
            <w:bottom w:val="none" w:sz="0" w:space="0" w:color="auto"/>
            <w:right w:val="none" w:sz="0" w:space="0" w:color="auto"/>
          </w:divBdr>
        </w:div>
      </w:divsChild>
    </w:div>
    <w:div w:id="1402873111">
      <w:bodyDiv w:val="1"/>
      <w:marLeft w:val="0"/>
      <w:marRight w:val="0"/>
      <w:marTop w:val="0"/>
      <w:marBottom w:val="0"/>
      <w:divBdr>
        <w:top w:val="none" w:sz="0" w:space="0" w:color="auto"/>
        <w:left w:val="none" w:sz="0" w:space="0" w:color="auto"/>
        <w:bottom w:val="none" w:sz="0" w:space="0" w:color="auto"/>
        <w:right w:val="none" w:sz="0" w:space="0" w:color="auto"/>
      </w:divBdr>
    </w:div>
    <w:div w:id="1574126518">
      <w:bodyDiv w:val="1"/>
      <w:marLeft w:val="0"/>
      <w:marRight w:val="0"/>
      <w:marTop w:val="0"/>
      <w:marBottom w:val="0"/>
      <w:divBdr>
        <w:top w:val="none" w:sz="0" w:space="0" w:color="auto"/>
        <w:left w:val="none" w:sz="0" w:space="0" w:color="auto"/>
        <w:bottom w:val="none" w:sz="0" w:space="0" w:color="auto"/>
        <w:right w:val="none" w:sz="0" w:space="0" w:color="auto"/>
      </w:divBdr>
    </w:div>
    <w:div w:id="1649239552">
      <w:bodyDiv w:val="1"/>
      <w:marLeft w:val="0"/>
      <w:marRight w:val="0"/>
      <w:marTop w:val="0"/>
      <w:marBottom w:val="0"/>
      <w:divBdr>
        <w:top w:val="none" w:sz="0" w:space="0" w:color="auto"/>
        <w:left w:val="none" w:sz="0" w:space="0" w:color="auto"/>
        <w:bottom w:val="none" w:sz="0" w:space="0" w:color="auto"/>
        <w:right w:val="none" w:sz="0" w:space="0" w:color="auto"/>
      </w:divBdr>
    </w:div>
    <w:div w:id="1660579765">
      <w:bodyDiv w:val="1"/>
      <w:marLeft w:val="0"/>
      <w:marRight w:val="0"/>
      <w:marTop w:val="0"/>
      <w:marBottom w:val="0"/>
      <w:divBdr>
        <w:top w:val="none" w:sz="0" w:space="0" w:color="auto"/>
        <w:left w:val="none" w:sz="0" w:space="0" w:color="auto"/>
        <w:bottom w:val="none" w:sz="0" w:space="0" w:color="auto"/>
        <w:right w:val="none" w:sz="0" w:space="0" w:color="auto"/>
      </w:divBdr>
    </w:div>
    <w:div w:id="1722896550">
      <w:bodyDiv w:val="1"/>
      <w:marLeft w:val="0"/>
      <w:marRight w:val="0"/>
      <w:marTop w:val="0"/>
      <w:marBottom w:val="0"/>
      <w:divBdr>
        <w:top w:val="none" w:sz="0" w:space="0" w:color="auto"/>
        <w:left w:val="none" w:sz="0" w:space="0" w:color="auto"/>
        <w:bottom w:val="none" w:sz="0" w:space="0" w:color="auto"/>
        <w:right w:val="none" w:sz="0" w:space="0" w:color="auto"/>
      </w:divBdr>
    </w:div>
    <w:div w:id="1850678899">
      <w:bodyDiv w:val="1"/>
      <w:marLeft w:val="0"/>
      <w:marRight w:val="0"/>
      <w:marTop w:val="0"/>
      <w:marBottom w:val="0"/>
      <w:divBdr>
        <w:top w:val="none" w:sz="0" w:space="0" w:color="auto"/>
        <w:left w:val="none" w:sz="0" w:space="0" w:color="auto"/>
        <w:bottom w:val="none" w:sz="0" w:space="0" w:color="auto"/>
        <w:right w:val="none" w:sz="0" w:space="0" w:color="auto"/>
      </w:divBdr>
    </w:div>
    <w:div w:id="1864632800">
      <w:bodyDiv w:val="1"/>
      <w:marLeft w:val="0"/>
      <w:marRight w:val="0"/>
      <w:marTop w:val="0"/>
      <w:marBottom w:val="0"/>
      <w:divBdr>
        <w:top w:val="none" w:sz="0" w:space="0" w:color="auto"/>
        <w:left w:val="none" w:sz="0" w:space="0" w:color="auto"/>
        <w:bottom w:val="none" w:sz="0" w:space="0" w:color="auto"/>
        <w:right w:val="none" w:sz="0" w:space="0" w:color="auto"/>
      </w:divBdr>
    </w:div>
    <w:div w:id="2044549474">
      <w:bodyDiv w:val="1"/>
      <w:marLeft w:val="0"/>
      <w:marRight w:val="0"/>
      <w:marTop w:val="0"/>
      <w:marBottom w:val="0"/>
      <w:divBdr>
        <w:top w:val="none" w:sz="0" w:space="0" w:color="auto"/>
        <w:left w:val="none" w:sz="0" w:space="0" w:color="auto"/>
        <w:bottom w:val="none" w:sz="0" w:space="0" w:color="auto"/>
        <w:right w:val="none" w:sz="0" w:space="0" w:color="auto"/>
      </w:divBdr>
    </w:div>
    <w:div w:id="2054649183">
      <w:bodyDiv w:val="1"/>
      <w:marLeft w:val="0"/>
      <w:marRight w:val="0"/>
      <w:marTop w:val="0"/>
      <w:marBottom w:val="0"/>
      <w:divBdr>
        <w:top w:val="none" w:sz="0" w:space="0" w:color="auto"/>
        <w:left w:val="none" w:sz="0" w:space="0" w:color="auto"/>
        <w:bottom w:val="none" w:sz="0" w:space="0" w:color="auto"/>
        <w:right w:val="none" w:sz="0" w:space="0" w:color="auto"/>
      </w:divBdr>
    </w:div>
    <w:div w:id="21084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IN"/>
              <a:t>Shareholding</a:t>
            </a:r>
            <a:r>
              <a:rPr lang="en-IN" baseline="0"/>
              <a:t> Pattern in %</a:t>
            </a:r>
            <a:endParaRPr lang="en-IN"/>
          </a:p>
        </c:rich>
      </c:tx>
      <c:spPr>
        <a:noFill/>
        <a:ln>
          <a:noFill/>
        </a:ln>
        <a:effectLst/>
      </c:spPr>
    </c:title>
    <c:plotArea>
      <c:layout/>
      <c:pieChart>
        <c:varyColors val="1"/>
        <c:ser>
          <c:idx val="0"/>
          <c:order val="0"/>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4EAB-4902-825B-58EE35ADA872}"/>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4EAB-4902-825B-58EE35ADA872}"/>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4EAB-4902-825B-58EE35ADA872}"/>
              </c:ext>
            </c:extLst>
          </c:dPt>
          <c:dPt>
            <c:idx val="3"/>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4EAB-4902-825B-58EE35ADA872}"/>
              </c:ext>
            </c:extLst>
          </c:dPt>
          <c:dPt>
            <c:idx val="4"/>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4EAB-4902-825B-58EE35ADA87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Sheet1!$B$4:$B$8</c:f>
              <c:strCache>
                <c:ptCount val="5"/>
                <c:pt idx="0">
                  <c:v>Shareholding Pattern</c:v>
                </c:pt>
                <c:pt idx="1">
                  <c:v>Promoters</c:v>
                </c:pt>
                <c:pt idx="2">
                  <c:v>DII</c:v>
                </c:pt>
                <c:pt idx="3">
                  <c:v>FII</c:v>
                </c:pt>
                <c:pt idx="4">
                  <c:v>Public &amp; Others</c:v>
                </c:pt>
              </c:strCache>
            </c:strRef>
          </c:cat>
          <c:val>
            <c:numRef>
              <c:f>Sheet1!$C$4:$C$8</c:f>
              <c:numCache>
                <c:formatCode>0.00%</c:formatCode>
                <c:ptCount val="5"/>
                <c:pt idx="1">
                  <c:v>0.54059999999999997</c:v>
                </c:pt>
                <c:pt idx="2">
                  <c:v>2.0900000000000002E-2</c:v>
                </c:pt>
                <c:pt idx="3">
                  <c:v>7.9900000000000027E-2</c:v>
                </c:pt>
                <c:pt idx="4">
                  <c:v>0.35860000000000009</c:v>
                </c:pt>
              </c:numCache>
            </c:numRef>
          </c:val>
          <c:extLst xmlns:c16r2="http://schemas.microsoft.com/office/drawing/2015/06/chart">
            <c:ext xmlns:c16="http://schemas.microsoft.com/office/drawing/2014/chart" uri="{C3380CC4-5D6E-409C-BE32-E72D297353CC}">
              <c16:uniqueId val="{0000000A-4EAB-4902-825B-58EE35ADA872}"/>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338A8-9047-43F4-AB6E-9BA119F3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Arihant Capital Markets</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dc:creator>
  <cp:lastModifiedBy>7</cp:lastModifiedBy>
  <cp:revision>4</cp:revision>
  <cp:lastPrinted>2019-06-03T05:46:00Z</cp:lastPrinted>
  <dcterms:created xsi:type="dcterms:W3CDTF">2023-07-03T13:08:00Z</dcterms:created>
  <dcterms:modified xsi:type="dcterms:W3CDTF">2023-07-04T04:20:00Z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4d41652a67107963e61a3a3a9295e2b17002866d220120cc52759a5a138f7134</vt:lpwstr>
  </property>
</Properties>
</file>